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年度海南省科协青年人才托举工程暨青年科技英才</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创新计划项目结题验收</w:t>
      </w:r>
      <w:r>
        <w:rPr>
          <w:rFonts w:hint="eastAsia" w:ascii="方正小标宋简体" w:hAnsi="方正小标宋简体" w:eastAsia="方正小标宋简体" w:cs="方正小标宋简体"/>
          <w:b w:val="0"/>
          <w:bCs/>
          <w:sz w:val="44"/>
          <w:szCs w:val="44"/>
          <w:lang w:eastAsia="zh-CN"/>
        </w:rPr>
        <w:t>通过</w:t>
      </w:r>
      <w:r>
        <w:rPr>
          <w:rFonts w:hint="eastAsia" w:ascii="方正小标宋简体" w:hAnsi="方正小标宋简体" w:eastAsia="方正小标宋简体" w:cs="方正小标宋简体"/>
          <w:b w:val="0"/>
          <w:bCs/>
          <w:sz w:val="44"/>
          <w:szCs w:val="44"/>
        </w:rPr>
        <w:t>人员名单</w:t>
      </w:r>
    </w:p>
    <w:tbl>
      <w:tblPr>
        <w:tblStyle w:val="6"/>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620"/>
        <w:gridCol w:w="1183"/>
        <w:gridCol w:w="2760"/>
        <w:gridCol w:w="593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50"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楷体" w:hAnsi="楷体" w:eastAsia="楷体"/>
                <w:b/>
                <w:sz w:val="36"/>
                <w:szCs w:val="36"/>
              </w:rPr>
            </w:pPr>
            <w:r>
              <w:rPr>
                <w:rFonts w:hint="eastAsia" w:ascii="楷体" w:hAnsi="楷体" w:eastAsia="楷体"/>
                <w:b/>
                <w:sz w:val="36"/>
                <w:szCs w:val="36"/>
                <w:lang w:eastAsia="zh-CN"/>
              </w:rPr>
              <w:t>一</w:t>
            </w:r>
            <w:r>
              <w:rPr>
                <w:rFonts w:hint="eastAsia" w:ascii="楷体" w:hAnsi="楷体" w:eastAsia="楷体"/>
                <w:b/>
                <w:sz w:val="36"/>
                <w:szCs w:val="36"/>
                <w:lang w:val="en-US" w:eastAsia="zh-CN"/>
              </w:rPr>
              <w:t xml:space="preserve">    </w:t>
            </w:r>
            <w:r>
              <w:rPr>
                <w:rFonts w:hint="eastAsia" w:ascii="楷体" w:hAnsi="楷体" w:eastAsia="楷体"/>
                <w:b/>
                <w:sz w:val="36"/>
                <w:szCs w:val="36"/>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4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序号</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项目编号</w:t>
            </w:r>
          </w:p>
        </w:tc>
        <w:tc>
          <w:tcPr>
            <w:tcW w:w="118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姓 名</w:t>
            </w:r>
          </w:p>
        </w:tc>
        <w:tc>
          <w:tcPr>
            <w:tcW w:w="276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工作单位</w:t>
            </w:r>
          </w:p>
        </w:tc>
        <w:tc>
          <w:tcPr>
            <w:tcW w:w="593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项目名称</w:t>
            </w:r>
          </w:p>
        </w:tc>
        <w:tc>
          <w:tcPr>
            <w:tcW w:w="190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lang w:eastAsia="zh-CN"/>
              </w:rPr>
            </w:pPr>
            <w:r>
              <w:rPr>
                <w:rFonts w:hint="eastAsia" w:ascii="CESI黑体-GB2312" w:hAnsi="CESI黑体-GB2312" w:eastAsia="CESI黑体-GB2312" w:cs="CESI黑体-GB2312"/>
                <w:b w:val="0"/>
                <w:bCs/>
                <w:sz w:val="28"/>
                <w:szCs w:val="28"/>
                <w:lang w:eastAsia="zh-CN"/>
              </w:rPr>
              <w:t>结题验收结果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1</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QCXM201806</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郭  锦</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图论方法在组合代数问题中的应用</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2</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QCXM201807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王志佳</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复杂模型实验设计的分离量纲分析理论及应用</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3</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QCXM201810</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赵志斌</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海南师范大学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热带作物增产照明用深紫外发光二级管研究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4</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赵牧秋</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海南热带海洋学院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铁对热带富营养化海草床沉积物硫磷形态及海草生长的影响</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5</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QCXM201812</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刘立昕</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中国科学院深海科学与工程研究所</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信息融合的潜水人员水下跟踪技术研究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6</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QCXM201911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颜  洪</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多模态无意识行为的隐式交互设计研究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7</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QCXM201912</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崔亚妮</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中小尺度海洋监测微型智能浮标</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8</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QCXM201924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云永欢</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基于代谢组学探讨海南不同产地鹧鸪茶的品质成分差异及其影响机理分析</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50"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楷体" w:hAnsi="楷体" w:eastAsia="楷体"/>
                <w:b/>
                <w:sz w:val="36"/>
                <w:szCs w:val="36"/>
              </w:rPr>
            </w:pPr>
            <w:r>
              <w:rPr>
                <w:rFonts w:hint="eastAsia" w:ascii="楷体" w:hAnsi="楷体" w:eastAsia="楷体"/>
                <w:b/>
                <w:sz w:val="36"/>
                <w:szCs w:val="36"/>
                <w:lang w:eastAsia="zh-CN"/>
              </w:rPr>
              <w:t>二</w:t>
            </w:r>
            <w:r>
              <w:rPr>
                <w:rFonts w:hint="eastAsia" w:ascii="楷体" w:hAnsi="楷体" w:eastAsia="楷体"/>
                <w:b/>
                <w:sz w:val="36"/>
                <w:szCs w:val="36"/>
                <w:lang w:val="en-US" w:eastAsia="zh-CN"/>
              </w:rPr>
              <w:t xml:space="preserve">   </w:t>
            </w:r>
            <w:r>
              <w:rPr>
                <w:rFonts w:hint="eastAsia" w:ascii="楷体" w:hAnsi="楷体" w:eastAsia="楷体"/>
                <w:b/>
                <w:sz w:val="36"/>
                <w:szCs w:val="36"/>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序号</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项目编号</w:t>
            </w:r>
          </w:p>
        </w:tc>
        <w:tc>
          <w:tcPr>
            <w:tcW w:w="118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姓 名</w:t>
            </w:r>
          </w:p>
        </w:tc>
        <w:tc>
          <w:tcPr>
            <w:tcW w:w="276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工作单位</w:t>
            </w:r>
          </w:p>
        </w:tc>
        <w:tc>
          <w:tcPr>
            <w:tcW w:w="593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项目名称</w:t>
            </w:r>
          </w:p>
        </w:tc>
        <w:tc>
          <w:tcPr>
            <w:tcW w:w="190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lang w:eastAsia="zh-CN"/>
              </w:rPr>
              <w:t>结题验收结果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QCXM201708</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李国寅</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琼台师范学院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大麦虫对太空舱有机质固体废弃物循环再利用研究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QCXM201802</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晁  哲  </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海南省农科院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影响海南黑山羊双羔性状候选基因的研究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3</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QCXM201804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张海文</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基于畜禽减抗的动物源抗菌肽筛选及其作用机理研究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theme="minorBidi"/>
                <w:kern w:val="2"/>
                <w:sz w:val="28"/>
                <w:szCs w:val="28"/>
                <w:lang w:val="en-US" w:eastAsia="zh-CN" w:bidi="ar-SA"/>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4</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曾教科</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基于代谢组学技术探讨多酚对荔枝果实采后褐变的调控机制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5</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QCXM201906</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欧阳超</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海南波莲水稻基因科技有限公司</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新型高效植物转基因筛选系统创建及水稻种质资源创新</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荀文娟</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大黄素对断奶仔猪肠黏膜屏障损伤的修复机理研究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7</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QCXM201908</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周世豪</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w:t>
            </w:r>
            <w:bookmarkStart w:id="0" w:name="_GoBack"/>
            <w:bookmarkEnd w:id="0"/>
            <w:r>
              <w:rPr>
                <w:rFonts w:hint="eastAsia" w:ascii="仿宋" w:hAnsi="仿宋" w:eastAsia="仿宋" w:cs="宋体"/>
                <w:kern w:val="0"/>
                <w:sz w:val="28"/>
                <w:szCs w:val="28"/>
                <w:lang w:val="en-US" w:eastAsia="zh-CN"/>
              </w:rPr>
              <w:t>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短时高温对瓜实蝇连续世代生物学特性的影响</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8</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QCXM201909</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祖  超</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中国热带农业科学院香料饮料研究所</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光调控源库糖代谢影响胡椒果实灌浆的机理研究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bl>
    <w:p>
      <w:pPr>
        <w:keepNext w:val="0"/>
        <w:keepLines w:val="0"/>
        <w:pageBreakBefore w:val="0"/>
        <w:kinsoku/>
        <w:wordWrap/>
        <w:overflowPunct/>
        <w:topLinePunct w:val="0"/>
        <w:autoSpaceDE/>
        <w:autoSpaceDN/>
        <w:bidi w:val="0"/>
        <w:adjustRightInd w:val="0"/>
        <w:snapToGrid w:val="0"/>
        <w:spacing w:line="240" w:lineRule="auto"/>
        <w:jc w:val="center"/>
        <w:rPr>
          <w:rFonts w:hint="eastAsia" w:ascii="楷体" w:hAnsi="楷体" w:eastAsia="楷体"/>
          <w:b/>
          <w:sz w:val="36"/>
          <w:szCs w:val="36"/>
          <w:lang w:eastAsia="zh-CN"/>
        </w:rPr>
      </w:pPr>
      <w:r>
        <w:rPr>
          <w:rFonts w:hint="eastAsia" w:ascii="楷体" w:hAnsi="楷体" w:eastAsia="楷体"/>
          <w:b/>
          <w:sz w:val="36"/>
          <w:szCs w:val="36"/>
          <w:lang w:eastAsia="zh-CN"/>
        </w:rPr>
        <w:br w:type="page"/>
      </w:r>
    </w:p>
    <w:tbl>
      <w:tblPr>
        <w:tblStyle w:val="6"/>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620"/>
        <w:gridCol w:w="1183"/>
        <w:gridCol w:w="2760"/>
        <w:gridCol w:w="593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50"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楷体" w:hAnsi="楷体" w:eastAsia="楷体"/>
                <w:b/>
                <w:sz w:val="36"/>
                <w:szCs w:val="36"/>
              </w:rPr>
            </w:pPr>
            <w:r>
              <w:rPr>
                <w:rFonts w:hint="eastAsia" w:ascii="楷体" w:hAnsi="楷体" w:eastAsia="楷体"/>
                <w:b/>
                <w:sz w:val="36"/>
                <w:szCs w:val="36"/>
                <w:lang w:eastAsia="zh-CN"/>
              </w:rPr>
              <w:t>三</w:t>
            </w:r>
            <w:r>
              <w:rPr>
                <w:rFonts w:hint="eastAsia" w:ascii="楷体" w:hAnsi="楷体" w:eastAsia="楷体"/>
                <w:b/>
                <w:sz w:val="36"/>
                <w:szCs w:val="36"/>
                <w:lang w:val="en-US" w:eastAsia="zh-CN"/>
              </w:rPr>
              <w:t xml:space="preserve">   </w:t>
            </w:r>
            <w:r>
              <w:rPr>
                <w:rFonts w:hint="eastAsia" w:ascii="楷体" w:hAnsi="楷体" w:eastAsia="楷体"/>
                <w:b/>
                <w:sz w:val="36"/>
                <w:szCs w:val="36"/>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4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序号</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项目编号</w:t>
            </w:r>
          </w:p>
        </w:tc>
        <w:tc>
          <w:tcPr>
            <w:tcW w:w="118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姓 名</w:t>
            </w:r>
          </w:p>
        </w:tc>
        <w:tc>
          <w:tcPr>
            <w:tcW w:w="276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工作单位</w:t>
            </w:r>
          </w:p>
        </w:tc>
        <w:tc>
          <w:tcPr>
            <w:tcW w:w="593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项目名称</w:t>
            </w:r>
          </w:p>
        </w:tc>
        <w:tc>
          <w:tcPr>
            <w:tcW w:w="190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lang w:eastAsia="zh-CN"/>
              </w:rPr>
              <w:t>结题验收结果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QCXM201701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董素芳</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海南医学院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TssE蛋白在类鼻疽伯克霍尔德菌中的致病机制和生物学功能研究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QCXM201813</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陈  斌</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海南医学院第二附属医院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改善睡眠障碍对提高脑梗死患者二级预防依从性的效益研究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3</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吴丹娜</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海南省人民医院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Thromboelastography联合CYP2C19基因分型优化冠脉搭桥术后抗血小板药物疗效与远期不良事件的队列研究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4</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QCXM201815</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谢  曦</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虾青素通过Nrf2/ARE信号通路调控线粒体活性氧产生抗糖尿病肾病机制研究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5</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郭竹玲  </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海南医学院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牙周治疗调节血糖及骨代谢的机制研究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QCXM201917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周  平</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海南医学院第一附属医院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TERT-CLPTM1L基因区域多态性与鼻咽癌发病风险的临床关联性及机制研究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bl>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heme="majorEastAsia" w:hAnsiTheme="majorEastAsia" w:eastAsiaTheme="majorEastAsia"/>
          <w:b/>
          <w:sz w:val="36"/>
          <w:szCs w:val="36"/>
        </w:rPr>
      </w:pPr>
    </w:p>
    <w:p/>
    <w:sectPr>
      <w:footerReference r:id="rId3" w:type="default"/>
      <w:pgSz w:w="16838" w:h="11906" w:orient="landscape"/>
      <w:pgMar w:top="1814" w:right="1440" w:bottom="1701" w:left="144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AC"/>
    <w:rsid w:val="00016F77"/>
    <w:rsid w:val="000818B4"/>
    <w:rsid w:val="000B665A"/>
    <w:rsid w:val="000C4812"/>
    <w:rsid w:val="001514BF"/>
    <w:rsid w:val="00173304"/>
    <w:rsid w:val="00181A60"/>
    <w:rsid w:val="001A423F"/>
    <w:rsid w:val="001B32FE"/>
    <w:rsid w:val="001C35CB"/>
    <w:rsid w:val="002675EF"/>
    <w:rsid w:val="00270F63"/>
    <w:rsid w:val="002748CB"/>
    <w:rsid w:val="0029271E"/>
    <w:rsid w:val="002D3BB1"/>
    <w:rsid w:val="002E0F3A"/>
    <w:rsid w:val="002F63E2"/>
    <w:rsid w:val="00313B1C"/>
    <w:rsid w:val="00314AEB"/>
    <w:rsid w:val="00320F6E"/>
    <w:rsid w:val="003267BD"/>
    <w:rsid w:val="00334011"/>
    <w:rsid w:val="00357048"/>
    <w:rsid w:val="0039247C"/>
    <w:rsid w:val="003C29CE"/>
    <w:rsid w:val="003F4D79"/>
    <w:rsid w:val="00411883"/>
    <w:rsid w:val="00416616"/>
    <w:rsid w:val="004278CD"/>
    <w:rsid w:val="00483FF5"/>
    <w:rsid w:val="00530DF3"/>
    <w:rsid w:val="005521BF"/>
    <w:rsid w:val="00593008"/>
    <w:rsid w:val="005D5900"/>
    <w:rsid w:val="005F0899"/>
    <w:rsid w:val="00614AA0"/>
    <w:rsid w:val="00646D8F"/>
    <w:rsid w:val="00693F16"/>
    <w:rsid w:val="006D447F"/>
    <w:rsid w:val="006E2330"/>
    <w:rsid w:val="006E6E30"/>
    <w:rsid w:val="006F2628"/>
    <w:rsid w:val="00726B99"/>
    <w:rsid w:val="00736473"/>
    <w:rsid w:val="00737CC0"/>
    <w:rsid w:val="00757AE5"/>
    <w:rsid w:val="007762EB"/>
    <w:rsid w:val="00794E3D"/>
    <w:rsid w:val="00823D89"/>
    <w:rsid w:val="0084457B"/>
    <w:rsid w:val="008963B1"/>
    <w:rsid w:val="008D4567"/>
    <w:rsid w:val="008E0966"/>
    <w:rsid w:val="00974E69"/>
    <w:rsid w:val="00985B9C"/>
    <w:rsid w:val="009946D0"/>
    <w:rsid w:val="009A4F88"/>
    <w:rsid w:val="009F5715"/>
    <w:rsid w:val="00A91BDC"/>
    <w:rsid w:val="00AC0AFF"/>
    <w:rsid w:val="00AD09DC"/>
    <w:rsid w:val="00AD11B1"/>
    <w:rsid w:val="00AD58A8"/>
    <w:rsid w:val="00AE4AFF"/>
    <w:rsid w:val="00AF12DE"/>
    <w:rsid w:val="00AF5496"/>
    <w:rsid w:val="00B10833"/>
    <w:rsid w:val="00B306AC"/>
    <w:rsid w:val="00B33390"/>
    <w:rsid w:val="00B5321B"/>
    <w:rsid w:val="00B878BC"/>
    <w:rsid w:val="00BB1F41"/>
    <w:rsid w:val="00BC1191"/>
    <w:rsid w:val="00C15FFF"/>
    <w:rsid w:val="00C1796D"/>
    <w:rsid w:val="00C40F34"/>
    <w:rsid w:val="00C56354"/>
    <w:rsid w:val="00C625B4"/>
    <w:rsid w:val="00CE2993"/>
    <w:rsid w:val="00D00EED"/>
    <w:rsid w:val="00D0312D"/>
    <w:rsid w:val="00D23107"/>
    <w:rsid w:val="00D27EF1"/>
    <w:rsid w:val="00D40816"/>
    <w:rsid w:val="00D64384"/>
    <w:rsid w:val="00D849C4"/>
    <w:rsid w:val="00DE742B"/>
    <w:rsid w:val="00DF7392"/>
    <w:rsid w:val="00E2064A"/>
    <w:rsid w:val="00E21704"/>
    <w:rsid w:val="00E61E8E"/>
    <w:rsid w:val="00E63101"/>
    <w:rsid w:val="00E635E9"/>
    <w:rsid w:val="00E64D1F"/>
    <w:rsid w:val="00E9532E"/>
    <w:rsid w:val="00EC04DD"/>
    <w:rsid w:val="00ED03AB"/>
    <w:rsid w:val="00F85B3E"/>
    <w:rsid w:val="00FA2E9B"/>
    <w:rsid w:val="00FB51D4"/>
    <w:rsid w:val="00FD4387"/>
    <w:rsid w:val="0843751A"/>
    <w:rsid w:val="17BDEBDE"/>
    <w:rsid w:val="1AF39A4E"/>
    <w:rsid w:val="3FF70643"/>
    <w:rsid w:val="436F22E0"/>
    <w:rsid w:val="4FDFEAE5"/>
    <w:rsid w:val="5EFA0F26"/>
    <w:rsid w:val="73F654AE"/>
    <w:rsid w:val="79CF2598"/>
    <w:rsid w:val="7BAE8F1A"/>
    <w:rsid w:val="7BDA08FF"/>
    <w:rsid w:val="7D4FCC70"/>
    <w:rsid w:val="8FFD4910"/>
    <w:rsid w:val="8FFD635B"/>
    <w:rsid w:val="BBB76C72"/>
    <w:rsid w:val="BFEA9A29"/>
    <w:rsid w:val="DA1F702B"/>
    <w:rsid w:val="EFFE1432"/>
    <w:rsid w:val="F73FCBA1"/>
    <w:rsid w:val="F9DB2111"/>
    <w:rsid w:val="FE7DD9F4"/>
    <w:rsid w:val="FEECA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Char"/>
    <w:basedOn w:val="1"/>
    <w:qFormat/>
    <w:uiPriority w:val="0"/>
    <w:pPr>
      <w:widowControl/>
      <w:spacing w:after="160" w:line="240" w:lineRule="exact"/>
      <w:jc w:val="left"/>
    </w:pPr>
    <w:rPr>
      <w:rFonts w:ascii="Calibri" w:hAnsi="Calibri" w:eastAsia="宋体" w:cs="Times New Roman"/>
      <w:szCs w:val="24"/>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惠普(中国)股份有限公司</Company>
  <Pages>2</Pages>
  <Words>197</Words>
  <Characters>1126</Characters>
  <Lines>9</Lines>
  <Paragraphs>2</Paragraphs>
  <TotalTime>4</TotalTime>
  <ScaleCrop>false</ScaleCrop>
  <LinksUpToDate>false</LinksUpToDate>
  <CharactersWithSpaces>1321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2018-12-24T07:44:00Z</dcterms:created>
  <dc:creator>HP</dc:creator>
  <cp:lastModifiedBy>uos</cp:lastModifiedBy>
  <cp:lastPrinted>2022-05-11T19:38:00Z</cp:lastPrinted>
  <dcterms:modified xsi:type="dcterms:W3CDTF">2022-05-16T19:41:07Z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