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年度海南省科协青年人才托举工程暨青年科技英才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创新计划项目结题验收</w:t>
      </w:r>
      <w:r>
        <w:rPr>
          <w:rFonts w:hint="eastAsia" w:ascii="方正小标宋简体" w:hAnsi="方正小标宋简体" w:eastAsia="方正小标宋简体" w:cs="方正小标宋简体"/>
          <w:b w:val="0"/>
          <w:bCs/>
          <w:sz w:val="44"/>
          <w:szCs w:val="44"/>
          <w:lang w:eastAsia="zh-CN"/>
        </w:rPr>
        <w:t>通过</w:t>
      </w:r>
      <w:r>
        <w:rPr>
          <w:rFonts w:hint="eastAsia" w:ascii="方正小标宋简体" w:hAnsi="方正小标宋简体" w:eastAsia="方正小标宋简体" w:cs="方正小标宋简体"/>
          <w:b w:val="0"/>
          <w:bCs/>
          <w:sz w:val="44"/>
          <w:szCs w:val="44"/>
        </w:rPr>
        <w:t>人员名单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p>
    <w:tbl>
      <w:tblPr>
        <w:tblStyle w:val="6"/>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20"/>
        <w:gridCol w:w="1183"/>
        <w:gridCol w:w="2760"/>
        <w:gridCol w:w="593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lang w:eastAsia="zh-CN"/>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郭  锦</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图论方法在组合代数问题中的应用</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王志佳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复杂模型实验设计的分离量纲分析理论及应用</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QCXM201810</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赵志斌</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海南师范大学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热带作物增产照明用深紫外发光二级管研究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赵牧秋</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海南热带海洋学院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铁对热带富营养化海草床沉积物硫磷形态及海草生长的影响</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刘立昕</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中国科学院深海科学与工程研究所</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信息融合的潜水人员水下跟踪技术研究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颜  洪</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多模态无意识行为的隐式交互设计研究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7</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崔亚妮</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中小尺度海洋监测微型智能浮标</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8</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QCXM201924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云永欢</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基于代谢组学探讨海南不同产地鹧鸪茶的品质成分差异及其影响机理分析</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QCXM201708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李国寅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琼台师范学院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大麦虫对太空舱有机质固体废弃物循环再利用研究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QCXM201802</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晁  哲  </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海南省农科院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影响海南黑山羊双羔性状候选基因的研究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QCXM201804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张海文</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基于畜禽减抗的动物源抗菌肽筛选及其作用机理研究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theme="minorBidi"/>
                <w:kern w:val="2"/>
                <w:sz w:val="28"/>
                <w:szCs w:val="28"/>
                <w:lang w:val="en-US" w:eastAsia="zh-CN" w:bidi="ar-SA"/>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曾教科</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基于代谢组学技术探讨多酚对荔枝果实采后褐变的调控机制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QCXM201906</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欧阳超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海南波莲水稻基因科技有限公司</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新型高效植物转基因筛选系统创建及水稻种质资源创新</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荀文娟</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大黄素对断奶仔猪肠黏膜屏障损伤的修复机理研究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QCXM201908</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周世豪</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短时高温对瓜实蝇连续世代生物学特性的影响</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8</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QCXM201909</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祖  超</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中国热带农业科学院香料饮料研究所</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光调控源库糖代谢影响胡椒果实灌浆的机理研究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bl>
    <w:p>
      <w:pPr>
        <w:keepNext w:val="0"/>
        <w:keepLines w:val="0"/>
        <w:pageBreakBefore w:val="0"/>
        <w:kinsoku/>
        <w:wordWrap/>
        <w:overflowPunct/>
        <w:topLinePunct w:val="0"/>
        <w:autoSpaceDE/>
        <w:autoSpaceDN/>
        <w:bidi w:val="0"/>
        <w:adjustRightInd w:val="0"/>
        <w:snapToGrid w:val="0"/>
        <w:spacing w:line="240" w:lineRule="auto"/>
        <w:jc w:val="center"/>
        <w:rPr>
          <w:rFonts w:hint="eastAsia" w:ascii="楷体" w:hAnsi="楷体" w:eastAsia="楷体"/>
          <w:b/>
          <w:sz w:val="36"/>
          <w:szCs w:val="36"/>
          <w:lang w:eastAsia="zh-CN"/>
        </w:rPr>
      </w:pPr>
      <w:r>
        <w:rPr>
          <w:rFonts w:hint="eastAsia" w:ascii="楷体" w:hAnsi="楷体" w:eastAsia="楷体"/>
          <w:b/>
          <w:sz w:val="36"/>
          <w:szCs w:val="36"/>
          <w:lang w:eastAsia="zh-CN"/>
        </w:rPr>
        <w:br w:type="page"/>
      </w:r>
    </w:p>
    <w:tbl>
      <w:tblPr>
        <w:tblStyle w:val="6"/>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620"/>
        <w:gridCol w:w="1183"/>
        <w:gridCol w:w="2760"/>
        <w:gridCol w:w="593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4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序号</w:t>
            </w:r>
          </w:p>
        </w:tc>
        <w:tc>
          <w:tcPr>
            <w:tcW w:w="162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项目编号</w:t>
            </w:r>
          </w:p>
        </w:tc>
        <w:tc>
          <w:tcPr>
            <w:tcW w:w="1183"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姓 名</w:t>
            </w:r>
          </w:p>
        </w:tc>
        <w:tc>
          <w:tcPr>
            <w:tcW w:w="2760"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工作单位</w:t>
            </w:r>
          </w:p>
        </w:tc>
        <w:tc>
          <w:tcPr>
            <w:tcW w:w="59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rPr>
              <w:t>项目名称</w:t>
            </w:r>
          </w:p>
        </w:tc>
        <w:tc>
          <w:tcPr>
            <w:tcW w:w="1905" w:type="dxa"/>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CESI黑体-GB2312" w:hAnsi="CESI黑体-GB2312" w:eastAsia="CESI黑体-GB2312" w:cs="CESI黑体-GB2312"/>
                <w:b w:val="0"/>
                <w:bCs/>
                <w:sz w:val="28"/>
                <w:szCs w:val="28"/>
              </w:rPr>
            </w:pPr>
            <w:r>
              <w:rPr>
                <w:rFonts w:hint="eastAsia" w:ascii="CESI黑体-GB2312" w:hAnsi="CESI黑体-GB2312" w:eastAsia="CESI黑体-GB2312" w:cs="CESI黑体-GB2312"/>
                <w:b w:val="0"/>
                <w:bCs/>
                <w:sz w:val="28"/>
                <w:szCs w:val="28"/>
                <w:lang w:eastAsia="zh-CN"/>
              </w:rPr>
              <w:t>结题验收结果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QCXM201701</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董素芳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TssE蛋白在类鼻疽伯克霍尔德菌中的致病机制和生物学功能研究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QCXM201813</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陈  斌</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海南医学院第二附属医院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改善睡眠障碍对提高脑梗死患者二级预防依从性的效益研究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3</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QCXM201814</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吴丹娜</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海南省人民医院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Thromboelastography联合CYP2C19基因分型优化冠脉搭桥术后抗血小板药物疗效与远期不良事件的队列研究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4</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QCXM201815</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谢  曦</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海南大学</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虾青素通过Nrf2/ARE信号通路调控线粒体活性氧产生抗糖尿病肾病机制研究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5</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QCXM201817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 xml:space="preserve">郭竹玲  </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牙周治疗调节血糖及骨代谢的机制研究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8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QCXM201917</w:t>
            </w:r>
          </w:p>
        </w:tc>
        <w:tc>
          <w:tcPr>
            <w:tcW w:w="1183"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周  平</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海南医学院第一附属医院</w:t>
            </w:r>
          </w:p>
        </w:tc>
        <w:tc>
          <w:tcPr>
            <w:tcW w:w="593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TERT-CLPTM1L基因区域多态性与鼻咽癌发病风险的临床关联性及机制研究</w:t>
            </w:r>
          </w:p>
        </w:tc>
        <w:tc>
          <w:tcPr>
            <w:tcW w:w="190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sz w:val="28"/>
                <w:szCs w:val="28"/>
                <w:lang w:eastAsia="zh-CN"/>
              </w:rPr>
            </w:pPr>
            <w:r>
              <w:rPr>
                <w:rFonts w:hint="eastAsia" w:ascii="仿宋" w:hAnsi="仿宋" w:eastAsia="仿宋" w:cs="宋体"/>
                <w:kern w:val="0"/>
                <w:sz w:val="28"/>
                <w:szCs w:val="28"/>
                <w:lang w:eastAsia="zh-CN"/>
              </w:rPr>
              <w:t>通</w:t>
            </w: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lang w:eastAsia="zh-CN"/>
              </w:rPr>
              <w:t>过</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ajorEastAsia" w:hAnsiTheme="majorEastAsia" w:eastAsiaTheme="majorEastAsia"/>
          <w:b/>
          <w:sz w:val="36"/>
          <w:szCs w:val="36"/>
        </w:rPr>
      </w:pPr>
    </w:p>
    <w:p/>
    <w:sectPr>
      <w:footerReference r:id="rId3" w:type="default"/>
      <w:pgSz w:w="16838" w:h="11906" w:orient="landscape"/>
      <w:pgMar w:top="1814" w:right="1440" w:bottom="1701" w:left="144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AC"/>
    <w:rsid w:val="00016F77"/>
    <w:rsid w:val="000818B4"/>
    <w:rsid w:val="000B665A"/>
    <w:rsid w:val="000C4812"/>
    <w:rsid w:val="001514BF"/>
    <w:rsid w:val="00173304"/>
    <w:rsid w:val="00181A60"/>
    <w:rsid w:val="001A423F"/>
    <w:rsid w:val="001B32FE"/>
    <w:rsid w:val="001C35CB"/>
    <w:rsid w:val="002675EF"/>
    <w:rsid w:val="00270F63"/>
    <w:rsid w:val="002748CB"/>
    <w:rsid w:val="0029271E"/>
    <w:rsid w:val="002D3BB1"/>
    <w:rsid w:val="002E0F3A"/>
    <w:rsid w:val="002F63E2"/>
    <w:rsid w:val="00313B1C"/>
    <w:rsid w:val="00314AEB"/>
    <w:rsid w:val="00320F6E"/>
    <w:rsid w:val="003267BD"/>
    <w:rsid w:val="00334011"/>
    <w:rsid w:val="00357048"/>
    <w:rsid w:val="0039247C"/>
    <w:rsid w:val="003C29CE"/>
    <w:rsid w:val="003F4D79"/>
    <w:rsid w:val="00411883"/>
    <w:rsid w:val="00416616"/>
    <w:rsid w:val="004278CD"/>
    <w:rsid w:val="00483FF5"/>
    <w:rsid w:val="00530DF3"/>
    <w:rsid w:val="005521BF"/>
    <w:rsid w:val="00593008"/>
    <w:rsid w:val="005D5900"/>
    <w:rsid w:val="005F0899"/>
    <w:rsid w:val="00614AA0"/>
    <w:rsid w:val="00646D8F"/>
    <w:rsid w:val="00693F16"/>
    <w:rsid w:val="006D447F"/>
    <w:rsid w:val="006E2330"/>
    <w:rsid w:val="006E6E30"/>
    <w:rsid w:val="006F2628"/>
    <w:rsid w:val="00726B99"/>
    <w:rsid w:val="00736473"/>
    <w:rsid w:val="00737CC0"/>
    <w:rsid w:val="00757AE5"/>
    <w:rsid w:val="007762EB"/>
    <w:rsid w:val="00794E3D"/>
    <w:rsid w:val="00823D89"/>
    <w:rsid w:val="0084457B"/>
    <w:rsid w:val="008963B1"/>
    <w:rsid w:val="008D4567"/>
    <w:rsid w:val="008E0966"/>
    <w:rsid w:val="00974E69"/>
    <w:rsid w:val="00985B9C"/>
    <w:rsid w:val="009946D0"/>
    <w:rsid w:val="009A4F88"/>
    <w:rsid w:val="009F5715"/>
    <w:rsid w:val="00A91BDC"/>
    <w:rsid w:val="00AC0AFF"/>
    <w:rsid w:val="00AD09DC"/>
    <w:rsid w:val="00AD11B1"/>
    <w:rsid w:val="00AD58A8"/>
    <w:rsid w:val="00AE4AFF"/>
    <w:rsid w:val="00AF12DE"/>
    <w:rsid w:val="00AF5496"/>
    <w:rsid w:val="00B10833"/>
    <w:rsid w:val="00B306AC"/>
    <w:rsid w:val="00B33390"/>
    <w:rsid w:val="00B5321B"/>
    <w:rsid w:val="00B878BC"/>
    <w:rsid w:val="00BB1F41"/>
    <w:rsid w:val="00BC1191"/>
    <w:rsid w:val="00C15FFF"/>
    <w:rsid w:val="00C1796D"/>
    <w:rsid w:val="00C40F34"/>
    <w:rsid w:val="00C56354"/>
    <w:rsid w:val="00C625B4"/>
    <w:rsid w:val="00CE2993"/>
    <w:rsid w:val="00D00EED"/>
    <w:rsid w:val="00D0312D"/>
    <w:rsid w:val="00D23107"/>
    <w:rsid w:val="00D27EF1"/>
    <w:rsid w:val="00D40816"/>
    <w:rsid w:val="00D64384"/>
    <w:rsid w:val="00D849C4"/>
    <w:rsid w:val="00DE742B"/>
    <w:rsid w:val="00DF7392"/>
    <w:rsid w:val="00E2064A"/>
    <w:rsid w:val="00E21704"/>
    <w:rsid w:val="00E61E8E"/>
    <w:rsid w:val="00E63101"/>
    <w:rsid w:val="00E635E9"/>
    <w:rsid w:val="00E64D1F"/>
    <w:rsid w:val="00E9532E"/>
    <w:rsid w:val="00EC04DD"/>
    <w:rsid w:val="00ED03AB"/>
    <w:rsid w:val="00F85B3E"/>
    <w:rsid w:val="00FA2E9B"/>
    <w:rsid w:val="00FB51D4"/>
    <w:rsid w:val="00FD4387"/>
    <w:rsid w:val="0843751A"/>
    <w:rsid w:val="17BDEBDE"/>
    <w:rsid w:val="1AF39A4E"/>
    <w:rsid w:val="3FF70643"/>
    <w:rsid w:val="436F22E0"/>
    <w:rsid w:val="4FDFEAE5"/>
    <w:rsid w:val="5EFA0F26"/>
    <w:rsid w:val="5FEBDC44"/>
    <w:rsid w:val="73F654AE"/>
    <w:rsid w:val="79CF2598"/>
    <w:rsid w:val="7BAE8F1A"/>
    <w:rsid w:val="7BDA08FF"/>
    <w:rsid w:val="7D4FCC70"/>
    <w:rsid w:val="8FFD4910"/>
    <w:rsid w:val="8FFD635B"/>
    <w:rsid w:val="BBB76C72"/>
    <w:rsid w:val="BFEA9A29"/>
    <w:rsid w:val="CF7702F4"/>
    <w:rsid w:val="DA1F702B"/>
    <w:rsid w:val="EFFE1432"/>
    <w:rsid w:val="F73FCBA1"/>
    <w:rsid w:val="F9DB2111"/>
    <w:rsid w:val="FE7DD9F4"/>
    <w:rsid w:val="FEECA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Char"/>
    <w:basedOn w:val="1"/>
    <w:qFormat/>
    <w:uiPriority w:val="0"/>
    <w:pPr>
      <w:widowControl/>
      <w:spacing w:after="160" w:line="240" w:lineRule="exact"/>
      <w:jc w:val="left"/>
    </w:pPr>
    <w:rPr>
      <w:rFonts w:ascii="Calibri" w:hAnsi="Calibri" w:eastAsia="宋体" w:cs="Times New Roman"/>
      <w:szCs w:val="24"/>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惠普(中国)股份有限公司</Company>
  <Pages>2</Pages>
  <Words>197</Words>
  <Characters>1126</Characters>
  <Lines>9</Lines>
  <Paragraphs>2</Paragraphs>
  <TotalTime>5</TotalTime>
  <ScaleCrop>false</ScaleCrop>
  <LinksUpToDate>false</LinksUpToDate>
  <CharactersWithSpaces>1321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2018-12-24T23:44:00Z</dcterms:created>
  <dc:creator>HP</dc:creator>
  <cp:lastModifiedBy>uos</cp:lastModifiedBy>
  <cp:lastPrinted>2022-05-12T11:38:00Z</cp:lastPrinted>
  <dcterms:modified xsi:type="dcterms:W3CDTF">2022-05-30T12:01:25Z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