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8C" w:rsidRPr="00CA5405" w:rsidRDefault="00762361">
      <w:pPr>
        <w:adjustRightInd w:val="0"/>
        <w:snapToGrid w:val="0"/>
        <w:spacing w:line="600" w:lineRule="exact"/>
        <w:jc w:val="left"/>
        <w:rPr>
          <w:rFonts w:ascii="黑体" w:eastAsia="黑体" w:hAnsi="黑体" w:cs="Times New Roman"/>
          <w:bCs/>
          <w:kern w:val="0"/>
          <w:sz w:val="32"/>
          <w:szCs w:val="32"/>
        </w:rPr>
      </w:pPr>
      <w:r w:rsidRPr="00CA5405">
        <w:rPr>
          <w:rFonts w:ascii="黑体" w:eastAsia="黑体" w:hAnsi="黑体" w:cs="Times New Roman" w:hint="eastAsia"/>
          <w:bCs/>
          <w:kern w:val="0"/>
          <w:sz w:val="32"/>
          <w:szCs w:val="32"/>
        </w:rPr>
        <w:t>附</w:t>
      </w:r>
      <w:r w:rsidRPr="00CA5405">
        <w:rPr>
          <w:rFonts w:ascii="黑体" w:eastAsia="黑体" w:hAnsi="黑体" w:cs="Times New Roman"/>
          <w:bCs/>
          <w:kern w:val="0"/>
          <w:sz w:val="32"/>
          <w:szCs w:val="32"/>
        </w:rPr>
        <w:t>件</w:t>
      </w:r>
      <w:r w:rsidRPr="00CA5405">
        <w:rPr>
          <w:rFonts w:ascii="黑体" w:eastAsia="黑体" w:hAnsi="黑体" w:cs="Times New Roman" w:hint="eastAsia"/>
          <w:bCs/>
          <w:kern w:val="0"/>
          <w:sz w:val="32"/>
          <w:szCs w:val="32"/>
        </w:rPr>
        <w:t>1</w:t>
      </w:r>
    </w:p>
    <w:p w:rsidR="00067A00" w:rsidRPr="00067A00" w:rsidRDefault="00067A00" w:rsidP="00067A00">
      <w:pPr>
        <w:adjustRightInd w:val="0"/>
        <w:snapToGrid w:val="0"/>
        <w:spacing w:line="600" w:lineRule="exact"/>
        <w:jc w:val="center"/>
        <w:rPr>
          <w:rFonts w:ascii="Times New Roman" w:eastAsia="方正楷体_GBK" w:hAnsi="Times New Roman" w:cs="Times New Roman"/>
          <w:kern w:val="0"/>
          <w:sz w:val="28"/>
          <w:szCs w:val="28"/>
        </w:rPr>
      </w:pPr>
    </w:p>
    <w:p w:rsidR="00DD04A0" w:rsidRPr="00B61FA1" w:rsidRDefault="00DD04A0" w:rsidP="00DD04A0">
      <w:pPr>
        <w:adjustRightInd w:val="0"/>
        <w:snapToGrid w:val="0"/>
        <w:spacing w:line="600" w:lineRule="exact"/>
        <w:jc w:val="center"/>
        <w:rPr>
          <w:rFonts w:ascii="方正小标宋_GBK" w:eastAsia="方正小标宋_GBK" w:hAnsi="宋体" w:cs="Times New Roman"/>
          <w:sz w:val="44"/>
          <w:szCs w:val="44"/>
        </w:rPr>
      </w:pPr>
      <w:r w:rsidRPr="00B61FA1">
        <w:rPr>
          <w:rFonts w:ascii="方正小标宋_GBK" w:eastAsia="方正小标宋_GBK" w:hAnsi="宋体" w:cs="Times New Roman" w:hint="eastAsia"/>
          <w:bCs/>
          <w:kern w:val="0"/>
          <w:sz w:val="44"/>
          <w:szCs w:val="44"/>
        </w:rPr>
        <w:t>海南省“海智计划”工</w:t>
      </w:r>
      <w:r w:rsidRPr="00B61FA1">
        <w:rPr>
          <w:rFonts w:ascii="方正小标宋_GBK" w:eastAsia="方正小标宋_GBK" w:hAnsi="宋体" w:cs="Times New Roman" w:hint="eastAsia"/>
          <w:sz w:val="44"/>
          <w:szCs w:val="44"/>
        </w:rPr>
        <w:t>作站</w:t>
      </w:r>
      <w:r w:rsidRPr="00B61FA1">
        <w:rPr>
          <w:rFonts w:ascii="方正小标宋_GBK" w:eastAsia="方正小标宋_GBK" w:hAnsi="宋体" w:cs="Times New Roman" w:hint="eastAsia"/>
          <w:bCs/>
          <w:kern w:val="0"/>
          <w:sz w:val="44"/>
          <w:szCs w:val="44"/>
        </w:rPr>
        <w:t>建设管理办法</w:t>
      </w:r>
    </w:p>
    <w:p w:rsidR="00DD04A0" w:rsidRPr="00B61FA1" w:rsidRDefault="00DD04A0" w:rsidP="00DD04A0">
      <w:pPr>
        <w:adjustRightInd w:val="0"/>
        <w:snapToGrid w:val="0"/>
        <w:spacing w:line="600" w:lineRule="exact"/>
        <w:jc w:val="center"/>
        <w:rPr>
          <w:rFonts w:ascii="方正小标宋_GBK" w:eastAsia="方正小标宋_GBK" w:hAnsi="宋体" w:cs="Times New Roman"/>
          <w:bCs/>
          <w:kern w:val="0"/>
          <w:sz w:val="44"/>
          <w:szCs w:val="44"/>
        </w:rPr>
      </w:pPr>
      <w:r w:rsidRPr="00B61FA1">
        <w:rPr>
          <w:rFonts w:ascii="方正小标宋_GBK" w:eastAsia="方正小标宋_GBK" w:hAnsi="宋体" w:cs="Times New Roman" w:hint="eastAsia"/>
          <w:bCs/>
          <w:kern w:val="0"/>
          <w:sz w:val="44"/>
          <w:szCs w:val="44"/>
        </w:rPr>
        <w:t>（试行）</w:t>
      </w:r>
    </w:p>
    <w:p w:rsidR="00DD04A0" w:rsidRPr="00B61FA1" w:rsidRDefault="00DD04A0" w:rsidP="00DD04A0">
      <w:pPr>
        <w:adjustRightInd w:val="0"/>
        <w:snapToGrid w:val="0"/>
        <w:spacing w:line="600" w:lineRule="exact"/>
        <w:jc w:val="center"/>
        <w:rPr>
          <w:rFonts w:ascii="仿宋_GB2312" w:eastAsia="仿宋_GB2312" w:hAnsi="Times New Roman" w:cs="Times New Roman"/>
          <w:kern w:val="0"/>
          <w:sz w:val="32"/>
          <w:szCs w:val="32"/>
        </w:rPr>
      </w:pPr>
    </w:p>
    <w:p w:rsidR="00DD04A0" w:rsidRPr="00B61FA1" w:rsidRDefault="00DD04A0" w:rsidP="00DD04A0">
      <w:pPr>
        <w:adjustRightInd w:val="0"/>
        <w:snapToGrid w:val="0"/>
        <w:spacing w:beforeLines="100" w:before="312" w:afterLines="100" w:after="312" w:line="600" w:lineRule="exact"/>
        <w:jc w:val="center"/>
        <w:rPr>
          <w:rFonts w:ascii="黑体" w:eastAsia="黑体" w:hAnsi="黑体" w:cs="Times New Roman"/>
          <w:kern w:val="0"/>
          <w:sz w:val="32"/>
          <w:szCs w:val="32"/>
        </w:rPr>
      </w:pPr>
      <w:r w:rsidRPr="00B61FA1">
        <w:rPr>
          <w:rFonts w:ascii="黑体" w:eastAsia="黑体" w:hAnsi="黑体" w:cs="Times New Roman" w:hint="eastAsia"/>
          <w:bCs/>
          <w:kern w:val="0"/>
          <w:sz w:val="32"/>
          <w:szCs w:val="32"/>
        </w:rPr>
        <w:t>第一章 总 则</w:t>
      </w:r>
    </w:p>
    <w:p w:rsidR="00DD04A0" w:rsidRPr="00B61FA1" w:rsidRDefault="00DD04A0" w:rsidP="00DD04A0">
      <w:pPr>
        <w:widowControl/>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 xml:space="preserve">第一条 </w:t>
      </w:r>
      <w:r w:rsidRPr="00B61FA1">
        <w:rPr>
          <w:rFonts w:ascii="仿宋_GB2312" w:eastAsia="仿宋_GB2312" w:hAnsi="仿宋" w:cs="Times New Roman" w:hint="eastAsia"/>
          <w:kern w:val="0"/>
          <w:sz w:val="32"/>
          <w:szCs w:val="32"/>
        </w:rPr>
        <w:t>为进一步推动中国科协“海外智力为国服务行动计划”（简称“海智计划”）的实施，规范有效地建设海南省“海智计划”工作站，制定本办法。</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第二条</w:t>
      </w:r>
      <w:r w:rsidRPr="00B61FA1">
        <w:rPr>
          <w:rFonts w:ascii="仿宋_GB2312" w:eastAsia="仿宋_GB2312" w:hAnsi="仿宋" w:cs="Times New Roman" w:hint="eastAsia"/>
          <w:kern w:val="0"/>
          <w:sz w:val="32"/>
          <w:szCs w:val="32"/>
        </w:rPr>
        <w:t xml:space="preserve"> 海南省“海智计划”工作站的建设坚持“需求为基础、项目为核心、企事业为主体、实效为根本”的原则，充分利用中国科协“海智计划”办公室、海南省科协以及申报单位广泛联系海外科技机构、团体和海外科技工作者的资源优势，搭建海外高层次人才引进、项目合作、学术交流、决策咨询的平台，引导海外高层次人才智力向海南集聚，更好地为海南创新驱动战略和经济社会发展服务。</w:t>
      </w:r>
    </w:p>
    <w:p w:rsidR="00DD04A0" w:rsidRPr="00B61FA1" w:rsidRDefault="00DD04A0" w:rsidP="00C674EB">
      <w:pPr>
        <w:adjustRightInd w:val="0"/>
        <w:snapToGrid w:val="0"/>
        <w:spacing w:line="600" w:lineRule="exact"/>
        <w:ind w:firstLineChars="1000" w:firstLine="3200"/>
        <w:rPr>
          <w:rFonts w:ascii="黑体" w:eastAsia="黑体" w:hAnsi="黑体" w:cs="Times New Roman"/>
          <w:kern w:val="0"/>
          <w:sz w:val="32"/>
          <w:szCs w:val="32"/>
        </w:rPr>
      </w:pPr>
      <w:r w:rsidRPr="00B61FA1">
        <w:rPr>
          <w:rFonts w:ascii="黑体" w:eastAsia="黑体" w:hAnsi="黑体" w:cs="Times New Roman" w:hint="eastAsia"/>
          <w:kern w:val="0"/>
          <w:sz w:val="32"/>
          <w:szCs w:val="32"/>
        </w:rPr>
        <w:t>第二章  主要任务</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 xml:space="preserve">第三条 </w:t>
      </w:r>
      <w:r w:rsidRPr="00B61FA1">
        <w:rPr>
          <w:rFonts w:ascii="仿宋_GB2312" w:eastAsia="仿宋_GB2312" w:hAnsi="仿宋" w:cs="Times New Roman" w:hint="eastAsia"/>
          <w:kern w:val="0"/>
          <w:sz w:val="32"/>
          <w:szCs w:val="32"/>
        </w:rPr>
        <w:t>海南省“海智计划”工作站的主要任务：</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1．充分利用中国科协“海智计划”办公室、海南省科协以及申报单位的资源优势，服务本单位或本地区对海外人才、智力的需求；</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2．针对行业、产业、学科及区域发展，组织海外高层次</w:t>
      </w:r>
      <w:r w:rsidRPr="00B61FA1">
        <w:rPr>
          <w:rFonts w:ascii="仿宋_GB2312" w:eastAsia="仿宋_GB2312" w:hAnsi="仿宋" w:cs="Times New Roman" w:hint="eastAsia"/>
          <w:kern w:val="0"/>
          <w:sz w:val="32"/>
          <w:szCs w:val="32"/>
        </w:rPr>
        <w:lastRenderedPageBreak/>
        <w:t>人才和创新团队开展合作研究、决策咨询以及创新创业等活动;</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3．组织开展学术研讨、项目合作、技术引进、技术攻关、人才培养等多种形式的国际科技交流活动；</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4．完成海南省科协交办的工作。</w:t>
      </w:r>
    </w:p>
    <w:p w:rsidR="00DD04A0" w:rsidRPr="00B61FA1" w:rsidRDefault="00DD04A0" w:rsidP="00C674EB">
      <w:pPr>
        <w:adjustRightInd w:val="0"/>
        <w:snapToGrid w:val="0"/>
        <w:spacing w:line="600" w:lineRule="exact"/>
        <w:ind w:firstLineChars="1050" w:firstLine="3360"/>
        <w:rPr>
          <w:rFonts w:ascii="黑体" w:eastAsia="黑体" w:hAnsi="黑体" w:cs="Times New Roman"/>
          <w:kern w:val="0"/>
          <w:sz w:val="32"/>
          <w:szCs w:val="32"/>
        </w:rPr>
      </w:pPr>
      <w:r w:rsidRPr="00B61FA1">
        <w:rPr>
          <w:rFonts w:ascii="黑体" w:eastAsia="黑体" w:hAnsi="黑体" w:cs="Times New Roman" w:hint="eastAsia"/>
          <w:kern w:val="0"/>
          <w:sz w:val="32"/>
          <w:szCs w:val="32"/>
        </w:rPr>
        <w:t>第三章</w:t>
      </w:r>
      <w:r w:rsidR="00EE51EF" w:rsidRPr="00B61FA1">
        <w:rPr>
          <w:rFonts w:ascii="黑体" w:eastAsia="黑体" w:hAnsi="黑体" w:cs="Times New Roman" w:hint="eastAsia"/>
          <w:kern w:val="0"/>
          <w:sz w:val="32"/>
          <w:szCs w:val="32"/>
        </w:rPr>
        <w:t xml:space="preserve">  </w:t>
      </w:r>
      <w:r w:rsidRPr="00B61FA1">
        <w:rPr>
          <w:rFonts w:ascii="黑体" w:eastAsia="黑体" w:hAnsi="黑体" w:cs="Times New Roman" w:hint="eastAsia"/>
          <w:kern w:val="0"/>
          <w:sz w:val="32"/>
          <w:szCs w:val="32"/>
        </w:rPr>
        <w:t>申报与评审</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第四条</w:t>
      </w:r>
      <w:r w:rsidR="00A83D52" w:rsidRPr="00B61FA1">
        <w:rPr>
          <w:rFonts w:ascii="仿宋_GB2312" w:eastAsia="仿宋_GB2312" w:hAnsi="黑体" w:cs="Times New Roman" w:hint="eastAsia"/>
          <w:kern w:val="0"/>
          <w:sz w:val="32"/>
          <w:szCs w:val="32"/>
        </w:rPr>
        <w:t xml:space="preserve"> </w:t>
      </w:r>
      <w:r w:rsidRPr="00B61FA1">
        <w:rPr>
          <w:rFonts w:ascii="仿宋_GB2312" w:eastAsia="仿宋_GB2312" w:hAnsi="黑体" w:cs="Times New Roman" w:hint="eastAsia"/>
          <w:kern w:val="0"/>
          <w:sz w:val="32"/>
          <w:szCs w:val="32"/>
        </w:rPr>
        <w:t>申报对象：</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申报海南省“海智计划”工作站的单位须具有法人资格，能够独立开展海智工作，具体包括：</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1.具备条件的企业、高校、科研院所等；</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2.具备条件的经济技术开发区、工业园区、产业园（以下简称园区）；</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3．具备条件的市县科协。</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第五条</w:t>
      </w:r>
      <w:r w:rsidR="00A83D52" w:rsidRPr="00B61FA1">
        <w:rPr>
          <w:rFonts w:ascii="仿宋_GB2312" w:eastAsia="仿宋_GB2312" w:hAnsi="黑体" w:cs="Times New Roman" w:hint="eastAsia"/>
          <w:kern w:val="0"/>
          <w:sz w:val="32"/>
          <w:szCs w:val="32"/>
        </w:rPr>
        <w:t xml:space="preserve"> </w:t>
      </w:r>
      <w:r w:rsidRPr="00B61FA1">
        <w:rPr>
          <w:rFonts w:ascii="仿宋_GB2312" w:eastAsia="仿宋_GB2312" w:hAnsi="黑体" w:cs="Times New Roman" w:hint="eastAsia"/>
          <w:kern w:val="0"/>
          <w:sz w:val="32"/>
          <w:szCs w:val="32"/>
        </w:rPr>
        <w:t>申报条件：</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1．申报单位重视海智工作，有专（兼）职工作人员、办公场地和专项工作经费；</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2．申报单位有创新创业载体和工作平台，与海外科技机构、团体及科技工作者建立长期稳定的合作关系，有明确的科技创新与成果转化任务；</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3．申报建站的企业，应是</w:t>
      </w:r>
      <w:r w:rsidRPr="00C65AF1">
        <w:rPr>
          <w:rFonts w:ascii="仿宋_GB2312" w:eastAsia="仿宋_GB2312" w:hAnsi="仿宋" w:cs="Times New Roman" w:hint="eastAsia"/>
          <w:kern w:val="0"/>
          <w:sz w:val="32"/>
          <w:szCs w:val="32"/>
        </w:rPr>
        <w:t>规模以上企</w:t>
      </w:r>
      <w:r w:rsidRPr="00B61FA1">
        <w:rPr>
          <w:rFonts w:ascii="仿宋_GB2312" w:eastAsia="仿宋_GB2312" w:hAnsi="仿宋" w:cs="Times New Roman" w:hint="eastAsia"/>
          <w:kern w:val="0"/>
          <w:sz w:val="32"/>
          <w:szCs w:val="32"/>
        </w:rPr>
        <w:t>业或高新技术企业，有明确的技术创新和对外项目合作需求，有自己的研发机构和研发团队。</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第六条 申报材料：</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bCs/>
          <w:kern w:val="0"/>
          <w:sz w:val="32"/>
          <w:szCs w:val="32"/>
        </w:rPr>
      </w:pPr>
      <w:r w:rsidRPr="00B61FA1">
        <w:rPr>
          <w:rFonts w:ascii="仿宋_GB2312" w:eastAsia="仿宋_GB2312" w:hAnsi="仿宋" w:cs="Times New Roman" w:hint="eastAsia"/>
          <w:kern w:val="0"/>
          <w:sz w:val="32"/>
          <w:szCs w:val="32"/>
        </w:rPr>
        <w:lastRenderedPageBreak/>
        <w:t>1．《</w:t>
      </w:r>
      <w:r w:rsidRPr="00B61FA1">
        <w:rPr>
          <w:rFonts w:ascii="仿宋_GB2312" w:eastAsia="仿宋_GB2312" w:hAnsi="仿宋" w:cs="Times New Roman" w:hint="eastAsia"/>
          <w:bCs/>
          <w:kern w:val="0"/>
          <w:sz w:val="32"/>
          <w:szCs w:val="32"/>
        </w:rPr>
        <w:t>海南省“海智计划”工作站申报表</w:t>
      </w:r>
      <w:r w:rsidR="00DC35B9" w:rsidRPr="00B61FA1">
        <w:rPr>
          <w:rFonts w:ascii="仿宋_GB2312" w:eastAsia="仿宋_GB2312" w:hAnsi="仿宋" w:cs="Times New Roman" w:hint="eastAsia"/>
          <w:kern w:val="0"/>
          <w:sz w:val="32"/>
          <w:szCs w:val="32"/>
        </w:rPr>
        <w:t>》（见表</w:t>
      </w:r>
      <w:r w:rsidRPr="00B61FA1">
        <w:rPr>
          <w:rFonts w:ascii="仿宋_GB2312" w:eastAsia="仿宋_GB2312" w:hAnsi="仿宋" w:cs="Times New Roman" w:hint="eastAsia"/>
          <w:kern w:val="0"/>
          <w:sz w:val="32"/>
          <w:szCs w:val="32"/>
        </w:rPr>
        <w:t>1）；</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2．联系的海外科技团体、海智专家简介，项目合作协议等资料。</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第七条 评审、审批和挂牌：</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由海南省科协负责组织专家对申报材料进行资格审核，按程序公示无异议后，给予资助。</w:t>
      </w:r>
    </w:p>
    <w:p w:rsidR="00DD04A0" w:rsidRPr="00B61FA1" w:rsidRDefault="00DD04A0" w:rsidP="00DD04A0">
      <w:pPr>
        <w:numPr>
          <w:ilvl w:val="0"/>
          <w:numId w:val="6"/>
        </w:numPr>
        <w:adjustRightInd w:val="0"/>
        <w:snapToGrid w:val="0"/>
        <w:spacing w:line="600" w:lineRule="exact"/>
        <w:rPr>
          <w:rFonts w:ascii="仿宋_GB2312" w:eastAsia="仿宋_GB2312" w:hAnsi="仿宋" w:cs="Times New Roman"/>
          <w:kern w:val="0"/>
          <w:sz w:val="32"/>
          <w:szCs w:val="32"/>
        </w:rPr>
      </w:pPr>
      <w:r w:rsidRPr="00B61FA1">
        <w:rPr>
          <w:rFonts w:ascii="仿宋_GB2312" w:eastAsia="仿宋_GB2312" w:hAnsi="宋体" w:cs="Times New Roman" w:hint="eastAsia"/>
          <w:b/>
          <w:kern w:val="0"/>
          <w:sz w:val="32"/>
          <w:szCs w:val="32"/>
        </w:rPr>
        <w:t>评审</w:t>
      </w:r>
      <w:r w:rsidRPr="00B61FA1">
        <w:rPr>
          <w:rFonts w:ascii="仿宋_GB2312" w:eastAsia="仿宋_GB2312" w:hAnsi="黑体" w:cs="Times New Roman" w:hint="eastAsia"/>
          <w:kern w:val="0"/>
          <w:sz w:val="32"/>
          <w:szCs w:val="32"/>
        </w:rPr>
        <w:t xml:space="preserve"> </w:t>
      </w:r>
    </w:p>
    <w:p w:rsidR="00DD04A0" w:rsidRPr="00B61FA1" w:rsidRDefault="00DD04A0" w:rsidP="00233DE2">
      <w:pPr>
        <w:adjustRightInd w:val="0"/>
        <w:snapToGrid w:val="0"/>
        <w:spacing w:line="600" w:lineRule="exact"/>
        <w:ind w:firstLineChars="221" w:firstLine="707"/>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海南省科协负责组织海南省“海智计划”工作站的评审工作。</w:t>
      </w:r>
    </w:p>
    <w:p w:rsidR="00DD04A0" w:rsidRPr="00B61FA1" w:rsidRDefault="00DD04A0" w:rsidP="00C674EB">
      <w:pPr>
        <w:adjustRightInd w:val="0"/>
        <w:snapToGrid w:val="0"/>
        <w:spacing w:line="600" w:lineRule="exact"/>
        <w:ind w:firstLineChars="150" w:firstLine="48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（1）海南省“海智计划”工作站每年评审一次。</w:t>
      </w:r>
    </w:p>
    <w:p w:rsidR="00DD04A0" w:rsidRPr="00B61FA1" w:rsidRDefault="00DD04A0" w:rsidP="00C674EB">
      <w:pPr>
        <w:adjustRightInd w:val="0"/>
        <w:snapToGrid w:val="0"/>
        <w:spacing w:line="600" w:lineRule="exact"/>
        <w:ind w:firstLineChars="150" w:firstLine="48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（2）由海南省科协组织召开评审会议，评委由相关领域专家组成；经海南省科协深入调研，符合条件的，也可以由国际部直接推荐。</w:t>
      </w:r>
    </w:p>
    <w:p w:rsidR="00DD04A0" w:rsidRPr="00B61FA1" w:rsidRDefault="00DD04A0" w:rsidP="00C674EB">
      <w:pPr>
        <w:adjustRightInd w:val="0"/>
        <w:snapToGrid w:val="0"/>
        <w:spacing w:line="600" w:lineRule="exact"/>
        <w:ind w:firstLineChars="150" w:firstLine="48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（3）评审会议结果提交海南省科协主席办公会议研究决定拟建站单位名单。</w:t>
      </w:r>
    </w:p>
    <w:p w:rsidR="00DD04A0" w:rsidRPr="00B61FA1" w:rsidRDefault="00DD04A0" w:rsidP="00C674EB">
      <w:pPr>
        <w:adjustRightInd w:val="0"/>
        <w:snapToGrid w:val="0"/>
        <w:spacing w:line="600" w:lineRule="exact"/>
        <w:ind w:firstLineChars="150" w:firstLine="48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（4）海南省科协对当年拟建站单位名单进行为期5个工作日的公示，广泛听取意见，接受社会监督，确保评审工作的“公开、公平、公正”。</w:t>
      </w:r>
    </w:p>
    <w:p w:rsidR="00DD04A0" w:rsidRPr="00B61FA1" w:rsidRDefault="00DD04A0" w:rsidP="00DD04A0">
      <w:pPr>
        <w:adjustRightInd w:val="0"/>
        <w:snapToGrid w:val="0"/>
        <w:spacing w:line="600" w:lineRule="exact"/>
        <w:ind w:firstLineChars="200" w:firstLine="643"/>
        <w:rPr>
          <w:rFonts w:ascii="仿宋_GB2312" w:eastAsia="仿宋_GB2312" w:hAnsi="宋体" w:cs="Times New Roman"/>
          <w:b/>
          <w:kern w:val="0"/>
          <w:sz w:val="32"/>
          <w:szCs w:val="32"/>
        </w:rPr>
      </w:pPr>
      <w:r w:rsidRPr="00B61FA1">
        <w:rPr>
          <w:rFonts w:ascii="仿宋_GB2312" w:eastAsia="仿宋_GB2312" w:hAnsi="宋体" w:cs="Times New Roman" w:hint="eastAsia"/>
          <w:b/>
          <w:kern w:val="0"/>
          <w:sz w:val="32"/>
          <w:szCs w:val="32"/>
        </w:rPr>
        <w:t>2．公示</w:t>
      </w:r>
    </w:p>
    <w:p w:rsidR="00DD04A0" w:rsidRPr="00B61FA1" w:rsidRDefault="00DD04A0" w:rsidP="00DD04A0">
      <w:pPr>
        <w:adjustRightInd w:val="0"/>
        <w:snapToGrid w:val="0"/>
        <w:spacing w:line="600" w:lineRule="exact"/>
        <w:ind w:firstLineChars="200" w:firstLine="643"/>
        <w:rPr>
          <w:rFonts w:ascii="仿宋_GB2312" w:eastAsia="仿宋_GB2312" w:hAnsi="宋体" w:cs="Times New Roman"/>
          <w:b/>
          <w:kern w:val="0"/>
          <w:sz w:val="32"/>
          <w:szCs w:val="32"/>
        </w:rPr>
      </w:pPr>
      <w:r w:rsidRPr="00B61FA1">
        <w:rPr>
          <w:rFonts w:ascii="仿宋_GB2312" w:eastAsia="仿宋_GB2312" w:hAnsi="宋体" w:cs="Times New Roman" w:hint="eastAsia"/>
          <w:b/>
          <w:kern w:val="0"/>
          <w:sz w:val="32"/>
          <w:szCs w:val="32"/>
        </w:rPr>
        <w:t>3．授牌</w:t>
      </w:r>
    </w:p>
    <w:p w:rsidR="00DD04A0" w:rsidRPr="00B61FA1" w:rsidRDefault="00DD04A0" w:rsidP="00DD04A0">
      <w:pPr>
        <w:adjustRightInd w:val="0"/>
        <w:snapToGrid w:val="0"/>
        <w:spacing w:line="600" w:lineRule="exact"/>
        <w:ind w:firstLineChars="150" w:firstLine="480"/>
        <w:rPr>
          <w:rFonts w:ascii="仿宋_GB2312" w:eastAsia="仿宋_GB2312" w:hAnsi="仿宋" w:cs="Times New Roman"/>
          <w:kern w:val="0"/>
          <w:sz w:val="32"/>
          <w:szCs w:val="32"/>
        </w:rPr>
      </w:pPr>
      <w:r w:rsidRPr="00B61FA1">
        <w:rPr>
          <w:rFonts w:ascii="仿宋_GB2312" w:eastAsia="仿宋_GB2312" w:hAnsi="仿宋" w:cs="Times New Roman" w:hint="eastAsia"/>
          <w:kern w:val="0"/>
          <w:sz w:val="32"/>
          <w:szCs w:val="32"/>
        </w:rPr>
        <w:t>名称统一为：海南省“海智计划”工作站。</w:t>
      </w:r>
    </w:p>
    <w:p w:rsidR="00DD04A0" w:rsidRPr="00B61FA1" w:rsidRDefault="00DD04A0" w:rsidP="00976E28">
      <w:pPr>
        <w:adjustRightInd w:val="0"/>
        <w:snapToGrid w:val="0"/>
        <w:spacing w:line="600" w:lineRule="exact"/>
        <w:ind w:firstLineChars="200" w:firstLine="640"/>
        <w:jc w:val="center"/>
        <w:rPr>
          <w:rFonts w:ascii="黑体" w:eastAsia="黑体" w:hAnsi="黑体" w:cs="Times New Roman"/>
          <w:kern w:val="0"/>
          <w:sz w:val="32"/>
          <w:szCs w:val="32"/>
        </w:rPr>
      </w:pPr>
      <w:r w:rsidRPr="00B61FA1">
        <w:rPr>
          <w:rFonts w:ascii="黑体" w:eastAsia="黑体" w:hAnsi="黑体" w:cs="Times New Roman" w:hint="eastAsia"/>
          <w:kern w:val="0"/>
          <w:sz w:val="32"/>
          <w:szCs w:val="32"/>
        </w:rPr>
        <w:t>第四章</w:t>
      </w:r>
      <w:r w:rsidR="00EE51EF" w:rsidRPr="00B61FA1">
        <w:rPr>
          <w:rFonts w:ascii="黑体" w:eastAsia="黑体" w:hAnsi="黑体" w:cs="Times New Roman" w:hint="eastAsia"/>
          <w:kern w:val="0"/>
          <w:sz w:val="32"/>
          <w:szCs w:val="32"/>
        </w:rPr>
        <w:t xml:space="preserve">  </w:t>
      </w:r>
      <w:r w:rsidRPr="00B61FA1">
        <w:rPr>
          <w:rFonts w:ascii="黑体" w:eastAsia="黑体" w:hAnsi="黑体" w:cs="Times New Roman" w:hint="eastAsia"/>
          <w:kern w:val="0"/>
          <w:sz w:val="32"/>
          <w:szCs w:val="32"/>
        </w:rPr>
        <w:t>管</w:t>
      </w:r>
      <w:r w:rsidR="00976E28" w:rsidRPr="00B61FA1">
        <w:rPr>
          <w:rFonts w:ascii="黑体" w:eastAsia="黑体" w:hAnsi="黑体" w:cs="Times New Roman" w:hint="eastAsia"/>
          <w:kern w:val="0"/>
          <w:sz w:val="32"/>
          <w:szCs w:val="32"/>
        </w:rPr>
        <w:t xml:space="preserve"> </w:t>
      </w:r>
      <w:r w:rsidRPr="00B61FA1">
        <w:rPr>
          <w:rFonts w:ascii="黑体" w:eastAsia="黑体" w:hAnsi="黑体" w:cs="Times New Roman" w:hint="eastAsia"/>
          <w:kern w:val="0"/>
          <w:sz w:val="32"/>
          <w:szCs w:val="32"/>
        </w:rPr>
        <w:t>理</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 xml:space="preserve">第八条  </w:t>
      </w:r>
      <w:r w:rsidRPr="00B61FA1">
        <w:rPr>
          <w:rFonts w:ascii="仿宋_GB2312" w:eastAsia="仿宋_GB2312" w:hAnsi="仿宋" w:cs="Times New Roman" w:hint="eastAsia"/>
          <w:kern w:val="0"/>
          <w:sz w:val="32"/>
          <w:szCs w:val="32"/>
        </w:rPr>
        <w:t>海南省“海智计划”工作站接受海南省科协业</w:t>
      </w:r>
      <w:r w:rsidRPr="00B61FA1">
        <w:rPr>
          <w:rFonts w:ascii="仿宋_GB2312" w:eastAsia="仿宋_GB2312" w:hAnsi="仿宋" w:cs="Times New Roman" w:hint="eastAsia"/>
          <w:kern w:val="0"/>
          <w:sz w:val="32"/>
          <w:szCs w:val="32"/>
        </w:rPr>
        <w:lastRenderedPageBreak/>
        <w:t>务指导。</w:t>
      </w:r>
    </w:p>
    <w:p w:rsidR="00DD04A0" w:rsidRPr="00B61FA1" w:rsidRDefault="00DD04A0" w:rsidP="00141C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第九条</w:t>
      </w:r>
      <w:r w:rsidR="00EE51EF" w:rsidRPr="00B61FA1">
        <w:rPr>
          <w:rFonts w:ascii="仿宋_GB2312" w:eastAsia="仿宋_GB2312" w:hAnsi="黑体" w:cs="Times New Roman" w:hint="eastAsia"/>
          <w:kern w:val="0"/>
          <w:sz w:val="32"/>
          <w:szCs w:val="32"/>
        </w:rPr>
        <w:t xml:space="preserve"> </w:t>
      </w:r>
      <w:r w:rsidRPr="00B61FA1">
        <w:rPr>
          <w:rFonts w:ascii="仿宋_GB2312" w:eastAsia="仿宋_GB2312" w:hAnsi="仿宋" w:cs="Times New Roman" w:hint="eastAsia"/>
          <w:kern w:val="0"/>
          <w:sz w:val="32"/>
          <w:szCs w:val="32"/>
        </w:rPr>
        <w:t>对各工作站实行动态管理。每年由海南省科协组织对各工作站进行一次工作检查，对连续两年不能正常开展工作的，将撤销其海南省“海智计划”工作站资格。</w:t>
      </w:r>
    </w:p>
    <w:p w:rsidR="00DD04A0" w:rsidRPr="00B61FA1" w:rsidRDefault="00DD04A0" w:rsidP="00DD04A0">
      <w:pPr>
        <w:adjustRightInd w:val="0"/>
        <w:snapToGrid w:val="0"/>
        <w:spacing w:line="600" w:lineRule="exact"/>
        <w:ind w:firstLineChars="200" w:firstLine="640"/>
        <w:rPr>
          <w:rFonts w:ascii="仿宋_GB2312" w:eastAsia="仿宋_GB2312" w:hAnsi="黑体" w:cs="Times New Roman"/>
          <w:kern w:val="0"/>
          <w:sz w:val="32"/>
          <w:szCs w:val="32"/>
        </w:rPr>
      </w:pPr>
      <w:r w:rsidRPr="00B61FA1">
        <w:rPr>
          <w:rFonts w:ascii="仿宋_GB2312" w:eastAsia="仿宋_GB2312" w:hAnsi="黑体" w:cs="Times New Roman" w:hint="eastAsia"/>
          <w:kern w:val="0"/>
          <w:sz w:val="32"/>
          <w:szCs w:val="32"/>
        </w:rPr>
        <w:t xml:space="preserve">第十条 </w:t>
      </w:r>
      <w:r w:rsidRPr="00B61FA1">
        <w:rPr>
          <w:rFonts w:ascii="仿宋_GB2312" w:eastAsia="仿宋_GB2312" w:hAnsi="仿宋" w:cs="Times New Roman" w:hint="eastAsia"/>
          <w:kern w:val="0"/>
          <w:sz w:val="32"/>
          <w:szCs w:val="32"/>
        </w:rPr>
        <w:t>海南省科协对每个工作站给予建站工作一定的经费补助，以后年度工作开展成绩突出的，可持续获得资助。</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 xml:space="preserve">第十一条 </w:t>
      </w:r>
      <w:r w:rsidRPr="00B61FA1">
        <w:rPr>
          <w:rFonts w:ascii="仿宋_GB2312" w:eastAsia="仿宋_GB2312" w:hAnsi="仿宋" w:cs="Times New Roman" w:hint="eastAsia"/>
          <w:kern w:val="0"/>
          <w:sz w:val="32"/>
          <w:szCs w:val="32"/>
        </w:rPr>
        <w:t>建站工作经费坚持专款专用的原则，主要用于工作站改善条件、开展相关活动。建站工作经费由各建站单位负责管理，并按照财政有关规定使用经费。海南省科协将不定期对建站工作经费使用情况进行抽查监督。对违反规定使用的，将予以追回并按有关规定追究相关人员责任。</w:t>
      </w:r>
    </w:p>
    <w:p w:rsidR="00DD04A0" w:rsidRPr="00B61FA1" w:rsidRDefault="00DD04A0" w:rsidP="00DD04A0">
      <w:pPr>
        <w:widowControl/>
        <w:shd w:val="clear" w:color="auto" w:fill="FFFFFF"/>
        <w:spacing w:line="450" w:lineRule="atLeast"/>
        <w:ind w:firstLineChars="800" w:firstLine="2560"/>
        <w:jc w:val="left"/>
        <w:rPr>
          <w:rFonts w:ascii="黑体" w:eastAsia="黑体" w:hAnsi="黑体" w:cs="宋体"/>
          <w:b/>
          <w:color w:val="333333"/>
          <w:kern w:val="0"/>
          <w:sz w:val="32"/>
          <w:szCs w:val="32"/>
        </w:rPr>
      </w:pPr>
      <w:r w:rsidRPr="00B61FA1">
        <w:rPr>
          <w:rFonts w:ascii="黑体" w:eastAsia="黑体" w:hAnsi="黑体" w:cs="Times New Roman" w:hint="eastAsia"/>
          <w:bCs/>
          <w:kern w:val="0"/>
          <w:sz w:val="32"/>
          <w:szCs w:val="32"/>
        </w:rPr>
        <w:t>第五</w:t>
      </w:r>
      <w:r w:rsidR="00EE51EF" w:rsidRPr="00B61FA1">
        <w:rPr>
          <w:rFonts w:ascii="黑体" w:eastAsia="黑体" w:hAnsi="黑体" w:cs="Times New Roman" w:hint="eastAsia"/>
          <w:bCs/>
          <w:kern w:val="0"/>
          <w:sz w:val="32"/>
          <w:szCs w:val="32"/>
        </w:rPr>
        <w:t xml:space="preserve">章  </w:t>
      </w:r>
      <w:r w:rsidRPr="00B61FA1">
        <w:rPr>
          <w:rFonts w:ascii="黑体" w:eastAsia="黑体" w:hAnsi="黑体" w:cs="Times New Roman" w:hint="eastAsia"/>
          <w:bCs/>
          <w:kern w:val="0"/>
          <w:sz w:val="32"/>
          <w:szCs w:val="32"/>
        </w:rPr>
        <w:t>附 则</w:t>
      </w:r>
    </w:p>
    <w:p w:rsidR="00DD04A0" w:rsidRPr="00B61FA1" w:rsidRDefault="00DD04A0" w:rsidP="00DD04A0">
      <w:pPr>
        <w:adjustRightInd w:val="0"/>
        <w:snapToGrid w:val="0"/>
        <w:spacing w:line="600" w:lineRule="exact"/>
        <w:ind w:firstLineChars="200" w:firstLine="640"/>
        <w:rPr>
          <w:rFonts w:ascii="仿宋_GB2312" w:eastAsia="仿宋_GB2312" w:hAnsi="仿宋" w:cs="Times New Roman"/>
          <w:kern w:val="0"/>
          <w:sz w:val="32"/>
          <w:szCs w:val="32"/>
        </w:rPr>
      </w:pPr>
      <w:r w:rsidRPr="00B61FA1">
        <w:rPr>
          <w:rFonts w:ascii="仿宋_GB2312" w:eastAsia="仿宋_GB2312" w:hAnsi="黑体" w:cs="Times New Roman" w:hint="eastAsia"/>
          <w:kern w:val="0"/>
          <w:sz w:val="32"/>
          <w:szCs w:val="32"/>
        </w:rPr>
        <w:t xml:space="preserve">第十二条 </w:t>
      </w:r>
      <w:r w:rsidRPr="00B61FA1">
        <w:rPr>
          <w:rFonts w:ascii="仿宋_GB2312" w:eastAsia="仿宋_GB2312" w:hAnsi="仿宋" w:cs="Times New Roman" w:hint="eastAsia"/>
          <w:kern w:val="0"/>
          <w:sz w:val="32"/>
          <w:szCs w:val="32"/>
        </w:rPr>
        <w:t>本办法由海南省科协负责解释。</w:t>
      </w:r>
    </w:p>
    <w:p w:rsidR="00DD04A0" w:rsidRPr="00B61FA1" w:rsidRDefault="00DD04A0" w:rsidP="00DD04A0">
      <w:pPr>
        <w:adjustRightInd w:val="0"/>
        <w:snapToGrid w:val="0"/>
        <w:spacing w:line="600" w:lineRule="exact"/>
        <w:ind w:firstLineChars="200" w:firstLine="640"/>
        <w:rPr>
          <w:rFonts w:ascii="仿宋_GB2312" w:eastAsia="仿宋_GB2312" w:hAnsi="Times New Roman" w:cs="Times New Roman"/>
          <w:kern w:val="0"/>
          <w:sz w:val="32"/>
          <w:szCs w:val="32"/>
        </w:rPr>
      </w:pPr>
      <w:r w:rsidRPr="00B61FA1">
        <w:rPr>
          <w:rFonts w:ascii="仿宋_GB2312" w:eastAsia="仿宋_GB2312" w:hAnsi="黑体" w:cs="Times New Roman" w:hint="eastAsia"/>
          <w:kern w:val="0"/>
          <w:sz w:val="32"/>
          <w:szCs w:val="32"/>
        </w:rPr>
        <w:t>第十三条</w:t>
      </w:r>
      <w:r w:rsidRPr="00B61FA1">
        <w:rPr>
          <w:rFonts w:ascii="仿宋_GB2312" w:eastAsia="仿宋_GB2312" w:hAnsi="Times New Roman" w:cs="Times New Roman" w:hint="eastAsia"/>
          <w:kern w:val="0"/>
          <w:sz w:val="32"/>
          <w:szCs w:val="32"/>
        </w:rPr>
        <w:t xml:space="preserve"> </w:t>
      </w:r>
      <w:r w:rsidRPr="00B61FA1">
        <w:rPr>
          <w:rFonts w:ascii="仿宋_GB2312" w:eastAsia="仿宋_GB2312" w:hAnsi="仿宋" w:cs="Times New Roman" w:hint="eastAsia"/>
          <w:kern w:val="0"/>
          <w:sz w:val="32"/>
          <w:szCs w:val="32"/>
        </w:rPr>
        <w:t>本办法自印发之日起实施。</w:t>
      </w:r>
    </w:p>
    <w:p w:rsidR="00DD04A0" w:rsidRPr="00B61FA1" w:rsidRDefault="00DD04A0" w:rsidP="00DD04A0">
      <w:pPr>
        <w:adjustRightInd w:val="0"/>
        <w:snapToGrid w:val="0"/>
        <w:spacing w:line="600" w:lineRule="exact"/>
        <w:ind w:firstLine="600"/>
        <w:jc w:val="left"/>
        <w:rPr>
          <w:rFonts w:ascii="仿宋_GB2312" w:eastAsia="仿宋_GB2312" w:hAnsi="仿宋" w:cs="Times New Roman"/>
          <w:kern w:val="0"/>
          <w:sz w:val="32"/>
          <w:szCs w:val="32"/>
        </w:rPr>
      </w:pPr>
      <w:r w:rsidRPr="00B61FA1">
        <w:rPr>
          <w:rFonts w:ascii="仿宋_GB2312" w:eastAsia="仿宋_GB2312" w:hAnsi="Times New Roman" w:cs="Times New Roman" w:hint="eastAsia"/>
          <w:kern w:val="0"/>
          <w:sz w:val="32"/>
          <w:szCs w:val="32"/>
        </w:rPr>
        <w:t> </w:t>
      </w:r>
    </w:p>
    <w:p w:rsidR="00DD04A0" w:rsidRPr="00B61FA1" w:rsidRDefault="00DD04A0" w:rsidP="00DD04A0">
      <w:pPr>
        <w:widowControl/>
        <w:spacing w:line="500" w:lineRule="atLeast"/>
        <w:rPr>
          <w:rFonts w:ascii="仿宋_GB2312" w:eastAsia="仿宋_GB2312" w:hAnsi="仿宋" w:cs="Times New Roman"/>
          <w:kern w:val="0"/>
          <w:sz w:val="32"/>
          <w:szCs w:val="32"/>
        </w:rPr>
      </w:pPr>
    </w:p>
    <w:p w:rsidR="00DD04A0" w:rsidRPr="00B61FA1" w:rsidRDefault="00DD04A0" w:rsidP="00DD04A0">
      <w:pPr>
        <w:widowControl/>
        <w:spacing w:line="500" w:lineRule="atLeast"/>
        <w:rPr>
          <w:rFonts w:ascii="仿宋_GB2312" w:eastAsia="仿宋_GB2312" w:hAnsi="仿宋" w:cs="Times New Roman"/>
          <w:kern w:val="0"/>
          <w:sz w:val="32"/>
          <w:szCs w:val="32"/>
        </w:rPr>
      </w:pPr>
    </w:p>
    <w:p w:rsidR="00DD04A0" w:rsidRPr="00B61FA1" w:rsidRDefault="00DD04A0" w:rsidP="00DD04A0">
      <w:pPr>
        <w:widowControl/>
        <w:spacing w:line="500" w:lineRule="atLeast"/>
        <w:rPr>
          <w:rFonts w:ascii="仿宋_GB2312" w:eastAsia="仿宋_GB2312" w:hAnsi="仿宋" w:cs="Times New Roman"/>
          <w:kern w:val="0"/>
          <w:sz w:val="32"/>
          <w:szCs w:val="32"/>
        </w:rPr>
      </w:pPr>
    </w:p>
    <w:p w:rsidR="00DD04A0" w:rsidRPr="00B61FA1" w:rsidRDefault="00DD04A0" w:rsidP="00DD04A0">
      <w:pPr>
        <w:widowControl/>
        <w:spacing w:line="500" w:lineRule="atLeast"/>
        <w:rPr>
          <w:rFonts w:ascii="仿宋_GB2312" w:eastAsia="仿宋_GB2312" w:hAnsi="仿宋" w:cs="Times New Roman"/>
          <w:kern w:val="0"/>
          <w:sz w:val="32"/>
          <w:szCs w:val="32"/>
        </w:rPr>
      </w:pPr>
    </w:p>
    <w:p w:rsidR="00DD04A0" w:rsidRPr="00B61FA1" w:rsidRDefault="00DD04A0" w:rsidP="00DD04A0">
      <w:pPr>
        <w:widowControl/>
        <w:spacing w:line="500" w:lineRule="atLeast"/>
        <w:rPr>
          <w:rFonts w:ascii="仿宋_GB2312" w:eastAsia="仿宋_GB2312" w:hAnsi="仿宋" w:cs="Times New Roman"/>
          <w:kern w:val="0"/>
          <w:sz w:val="32"/>
          <w:szCs w:val="32"/>
        </w:rPr>
      </w:pPr>
    </w:p>
    <w:p w:rsidR="00DD04A0" w:rsidRPr="00B61FA1" w:rsidRDefault="00DD04A0" w:rsidP="00DD04A0">
      <w:pPr>
        <w:widowControl/>
        <w:spacing w:line="500" w:lineRule="atLeast"/>
        <w:rPr>
          <w:rFonts w:ascii="仿宋_GB2312" w:eastAsia="仿宋_GB2312" w:hAnsi="仿宋" w:cs="Times New Roman"/>
          <w:kern w:val="0"/>
          <w:sz w:val="32"/>
          <w:szCs w:val="32"/>
        </w:rPr>
      </w:pPr>
    </w:p>
    <w:p w:rsidR="00A47E63" w:rsidRPr="005E376B" w:rsidRDefault="00A47E63" w:rsidP="00F71CBE">
      <w:pPr>
        <w:widowControl/>
        <w:spacing w:line="520" w:lineRule="exact"/>
        <w:rPr>
          <w:rFonts w:ascii="仿宋" w:eastAsia="仿宋" w:hAnsi="仿宋" w:cs="Times New Roman"/>
          <w:kern w:val="0"/>
          <w:sz w:val="32"/>
          <w:szCs w:val="32"/>
        </w:rPr>
      </w:pPr>
    </w:p>
    <w:p w:rsidR="0083301E" w:rsidRDefault="0083301E">
      <w:pPr>
        <w:widowControl/>
        <w:spacing w:line="500" w:lineRule="atLeast"/>
        <w:rPr>
          <w:rFonts w:ascii="黑体" w:eastAsia="黑体" w:hAnsi="黑体" w:cs="Times New Roman"/>
          <w:kern w:val="0"/>
          <w:sz w:val="32"/>
          <w:szCs w:val="32"/>
        </w:rPr>
      </w:pPr>
      <w:bookmarkStart w:id="0" w:name="_GoBack"/>
      <w:bookmarkEnd w:id="0"/>
    </w:p>
    <w:sectPr w:rsidR="0083301E">
      <w:headerReference w:type="even" r:id="rId9"/>
      <w:headerReference w:type="default"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FF" w:rsidRDefault="005D36FF">
      <w:r>
        <w:separator/>
      </w:r>
    </w:p>
  </w:endnote>
  <w:endnote w:type="continuationSeparator" w:id="0">
    <w:p w:rsidR="005D36FF" w:rsidRDefault="005D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22216"/>
    </w:sdtPr>
    <w:sdtEndPr/>
    <w:sdtContent>
      <w:p w:rsidR="0074628C" w:rsidRDefault="00762361">
        <w:pPr>
          <w:pStyle w:val="a4"/>
          <w:jc w:val="center"/>
        </w:pPr>
        <w:r>
          <w:fldChar w:fldCharType="begin"/>
        </w:r>
        <w:r>
          <w:instrText>PAGE   \* MERGEFORMAT</w:instrText>
        </w:r>
        <w:r>
          <w:fldChar w:fldCharType="separate"/>
        </w:r>
        <w:r w:rsidR="00B252EB" w:rsidRPr="00B252EB">
          <w:rPr>
            <w:noProof/>
            <w:lang w:val="zh-CN"/>
          </w:rPr>
          <w:t>-</w:t>
        </w:r>
        <w:r w:rsidR="00B252EB">
          <w:rPr>
            <w:noProof/>
          </w:rPr>
          <w:t xml:space="preserve"> 1 -</w:t>
        </w:r>
        <w:r>
          <w:fldChar w:fldCharType="end"/>
        </w:r>
      </w:p>
    </w:sdtContent>
  </w:sdt>
  <w:p w:rsidR="0074628C" w:rsidRDefault="007462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FF" w:rsidRDefault="005D36FF">
      <w:r>
        <w:separator/>
      </w:r>
    </w:p>
  </w:footnote>
  <w:footnote w:type="continuationSeparator" w:id="0">
    <w:p w:rsidR="005D36FF" w:rsidRDefault="005D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8C" w:rsidRDefault="0074628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8C" w:rsidRDefault="0074628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37C9E"/>
    <w:multiLevelType w:val="hybridMultilevel"/>
    <w:tmpl w:val="4110657A"/>
    <w:lvl w:ilvl="0" w:tplc="C5529066">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15:restartNumberingAfterBreak="0">
    <w:nsid w:val="2C4B7102"/>
    <w:multiLevelType w:val="hybridMultilevel"/>
    <w:tmpl w:val="38A0D6C8"/>
    <w:lvl w:ilvl="0" w:tplc="56D8001A">
      <w:start w:val="1"/>
      <w:numFmt w:val="decimal"/>
      <w:lvlText w:val="（%1）"/>
      <w:lvlJc w:val="left"/>
      <w:pPr>
        <w:ind w:left="1880" w:hanging="1080"/>
      </w:pPr>
      <w:rPr>
        <w:rFonts w:ascii="黑体" w:eastAsia="黑体" w:hAnsi="黑体"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15:restartNumberingAfterBreak="0">
    <w:nsid w:val="42DF2CA6"/>
    <w:multiLevelType w:val="hybridMultilevel"/>
    <w:tmpl w:val="6876F464"/>
    <w:lvl w:ilvl="0" w:tplc="261C58BA">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 w15:restartNumberingAfterBreak="0">
    <w:nsid w:val="57C741A0"/>
    <w:multiLevelType w:val="hybridMultilevel"/>
    <w:tmpl w:val="A5F641CC"/>
    <w:lvl w:ilvl="0" w:tplc="2E6EB4B8">
      <w:start w:val="1"/>
      <w:numFmt w:val="decimal"/>
      <w:lvlText w:val="%1."/>
      <w:lvlJc w:val="left"/>
      <w:pPr>
        <w:ind w:left="1070" w:hanging="360"/>
      </w:pPr>
      <w:rPr>
        <w:rFonts w:ascii="黑体" w:eastAsia="黑体" w:hAnsi="黑体"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66EA7316"/>
    <w:multiLevelType w:val="multilevel"/>
    <w:tmpl w:val="72BB4094"/>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0C7C1E"/>
    <w:multiLevelType w:val="hybridMultilevel"/>
    <w:tmpl w:val="586EF190"/>
    <w:lvl w:ilvl="0" w:tplc="587279BA">
      <w:start w:val="1"/>
      <w:numFmt w:val="decimal"/>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15:restartNumberingAfterBreak="0">
    <w:nsid w:val="72BB4094"/>
    <w:multiLevelType w:val="multilevel"/>
    <w:tmpl w:val="72BB4094"/>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EC245A"/>
    <w:multiLevelType w:val="hybridMultilevel"/>
    <w:tmpl w:val="5FB056A8"/>
    <w:lvl w:ilvl="0" w:tplc="E91ECD3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1"/>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DC"/>
    <w:rsid w:val="000077DA"/>
    <w:rsid w:val="00007FC9"/>
    <w:rsid w:val="00016BF0"/>
    <w:rsid w:val="000172D4"/>
    <w:rsid w:val="00030719"/>
    <w:rsid w:val="00042278"/>
    <w:rsid w:val="00053E48"/>
    <w:rsid w:val="00067A00"/>
    <w:rsid w:val="00073BAF"/>
    <w:rsid w:val="00085712"/>
    <w:rsid w:val="000861D0"/>
    <w:rsid w:val="00092EFA"/>
    <w:rsid w:val="000965B9"/>
    <w:rsid w:val="000A0C43"/>
    <w:rsid w:val="000A232F"/>
    <w:rsid w:val="000A7A11"/>
    <w:rsid w:val="000C39FE"/>
    <w:rsid w:val="000E0927"/>
    <w:rsid w:val="000E7AFA"/>
    <w:rsid w:val="001002D4"/>
    <w:rsid w:val="001026A4"/>
    <w:rsid w:val="0010462A"/>
    <w:rsid w:val="001210A6"/>
    <w:rsid w:val="00122E12"/>
    <w:rsid w:val="00125895"/>
    <w:rsid w:val="001307A1"/>
    <w:rsid w:val="00141CA0"/>
    <w:rsid w:val="00142E5B"/>
    <w:rsid w:val="00143BFF"/>
    <w:rsid w:val="0015453B"/>
    <w:rsid w:val="0015630E"/>
    <w:rsid w:val="001574D6"/>
    <w:rsid w:val="001656B2"/>
    <w:rsid w:val="00167C18"/>
    <w:rsid w:val="00176F1D"/>
    <w:rsid w:val="0018307B"/>
    <w:rsid w:val="0019351E"/>
    <w:rsid w:val="001A297C"/>
    <w:rsid w:val="001A66B0"/>
    <w:rsid w:val="001A7742"/>
    <w:rsid w:val="001C4A3B"/>
    <w:rsid w:val="001C79AF"/>
    <w:rsid w:val="001C7CB5"/>
    <w:rsid w:val="001D0D92"/>
    <w:rsid w:val="001D1B72"/>
    <w:rsid w:val="001D68A5"/>
    <w:rsid w:val="001D6E88"/>
    <w:rsid w:val="001F136C"/>
    <w:rsid w:val="001F5D2B"/>
    <w:rsid w:val="001F5DD2"/>
    <w:rsid w:val="002046EE"/>
    <w:rsid w:val="00210D83"/>
    <w:rsid w:val="00216AE2"/>
    <w:rsid w:val="00221876"/>
    <w:rsid w:val="002223A3"/>
    <w:rsid w:val="00223BD5"/>
    <w:rsid w:val="0022509F"/>
    <w:rsid w:val="00233DE2"/>
    <w:rsid w:val="0023446C"/>
    <w:rsid w:val="002400BB"/>
    <w:rsid w:val="0024578D"/>
    <w:rsid w:val="00250842"/>
    <w:rsid w:val="00256944"/>
    <w:rsid w:val="0027057E"/>
    <w:rsid w:val="002761F1"/>
    <w:rsid w:val="0028261A"/>
    <w:rsid w:val="00282AF5"/>
    <w:rsid w:val="002B1F23"/>
    <w:rsid w:val="002B262A"/>
    <w:rsid w:val="002B4A6B"/>
    <w:rsid w:val="002C7AA6"/>
    <w:rsid w:val="002E16F1"/>
    <w:rsid w:val="002E1CE7"/>
    <w:rsid w:val="002E37B7"/>
    <w:rsid w:val="002E51BA"/>
    <w:rsid w:val="002F1E0E"/>
    <w:rsid w:val="00303C71"/>
    <w:rsid w:val="00311923"/>
    <w:rsid w:val="00313FD9"/>
    <w:rsid w:val="00320A9E"/>
    <w:rsid w:val="003235AD"/>
    <w:rsid w:val="00340122"/>
    <w:rsid w:val="00340D46"/>
    <w:rsid w:val="00343DC8"/>
    <w:rsid w:val="00361CCB"/>
    <w:rsid w:val="00371184"/>
    <w:rsid w:val="00372D4E"/>
    <w:rsid w:val="00374D17"/>
    <w:rsid w:val="00377D13"/>
    <w:rsid w:val="00387A34"/>
    <w:rsid w:val="003918F0"/>
    <w:rsid w:val="00395AE8"/>
    <w:rsid w:val="003B285C"/>
    <w:rsid w:val="003B4DEC"/>
    <w:rsid w:val="003B5E04"/>
    <w:rsid w:val="003C2640"/>
    <w:rsid w:val="003D1823"/>
    <w:rsid w:val="003E0848"/>
    <w:rsid w:val="003E7D93"/>
    <w:rsid w:val="003F59C0"/>
    <w:rsid w:val="003F6239"/>
    <w:rsid w:val="00411779"/>
    <w:rsid w:val="004147D0"/>
    <w:rsid w:val="00431FED"/>
    <w:rsid w:val="0043382D"/>
    <w:rsid w:val="00435D94"/>
    <w:rsid w:val="004514DB"/>
    <w:rsid w:val="004535A0"/>
    <w:rsid w:val="00456894"/>
    <w:rsid w:val="0046076B"/>
    <w:rsid w:val="00462500"/>
    <w:rsid w:val="00463076"/>
    <w:rsid w:val="00470CF1"/>
    <w:rsid w:val="00485440"/>
    <w:rsid w:val="00487DEE"/>
    <w:rsid w:val="004939EB"/>
    <w:rsid w:val="004971C0"/>
    <w:rsid w:val="004A1D7B"/>
    <w:rsid w:val="004A4B80"/>
    <w:rsid w:val="004B0CC7"/>
    <w:rsid w:val="004D6C7D"/>
    <w:rsid w:val="004D7859"/>
    <w:rsid w:val="004F2410"/>
    <w:rsid w:val="004F2A32"/>
    <w:rsid w:val="004F7711"/>
    <w:rsid w:val="004F79CD"/>
    <w:rsid w:val="00505A86"/>
    <w:rsid w:val="00510BEA"/>
    <w:rsid w:val="005111F5"/>
    <w:rsid w:val="00513DAC"/>
    <w:rsid w:val="00520E63"/>
    <w:rsid w:val="0052670D"/>
    <w:rsid w:val="005273DB"/>
    <w:rsid w:val="005319F0"/>
    <w:rsid w:val="00533746"/>
    <w:rsid w:val="00536460"/>
    <w:rsid w:val="00537096"/>
    <w:rsid w:val="00544990"/>
    <w:rsid w:val="0056042A"/>
    <w:rsid w:val="0056530B"/>
    <w:rsid w:val="005817AA"/>
    <w:rsid w:val="00581E23"/>
    <w:rsid w:val="00584EF1"/>
    <w:rsid w:val="00585E65"/>
    <w:rsid w:val="00590434"/>
    <w:rsid w:val="005A7E35"/>
    <w:rsid w:val="005B0E10"/>
    <w:rsid w:val="005B2E91"/>
    <w:rsid w:val="005B5110"/>
    <w:rsid w:val="005C1E17"/>
    <w:rsid w:val="005D1020"/>
    <w:rsid w:val="005D36FF"/>
    <w:rsid w:val="005D64AC"/>
    <w:rsid w:val="005E17A5"/>
    <w:rsid w:val="005E243E"/>
    <w:rsid w:val="005E376B"/>
    <w:rsid w:val="005E5183"/>
    <w:rsid w:val="006036C7"/>
    <w:rsid w:val="006074F7"/>
    <w:rsid w:val="0060773B"/>
    <w:rsid w:val="00632E43"/>
    <w:rsid w:val="006345F5"/>
    <w:rsid w:val="00656499"/>
    <w:rsid w:val="00663BC3"/>
    <w:rsid w:val="006653D3"/>
    <w:rsid w:val="0067415B"/>
    <w:rsid w:val="0067630D"/>
    <w:rsid w:val="006834CA"/>
    <w:rsid w:val="006A320C"/>
    <w:rsid w:val="006A79CC"/>
    <w:rsid w:val="006B50D5"/>
    <w:rsid w:val="006C1976"/>
    <w:rsid w:val="006D09E7"/>
    <w:rsid w:val="006D3F81"/>
    <w:rsid w:val="006D730D"/>
    <w:rsid w:val="006E6B54"/>
    <w:rsid w:val="006F418A"/>
    <w:rsid w:val="0070349F"/>
    <w:rsid w:val="007112B5"/>
    <w:rsid w:val="00743136"/>
    <w:rsid w:val="0074628C"/>
    <w:rsid w:val="0074639E"/>
    <w:rsid w:val="0075326D"/>
    <w:rsid w:val="0076006D"/>
    <w:rsid w:val="00762361"/>
    <w:rsid w:val="00776BA8"/>
    <w:rsid w:val="007837EF"/>
    <w:rsid w:val="00784917"/>
    <w:rsid w:val="007914D8"/>
    <w:rsid w:val="007A6632"/>
    <w:rsid w:val="007B08B3"/>
    <w:rsid w:val="007B1B24"/>
    <w:rsid w:val="007B3FA2"/>
    <w:rsid w:val="007B5FE4"/>
    <w:rsid w:val="007C4778"/>
    <w:rsid w:val="007C633E"/>
    <w:rsid w:val="007C7909"/>
    <w:rsid w:val="007D4F4E"/>
    <w:rsid w:val="007D7283"/>
    <w:rsid w:val="007E4A16"/>
    <w:rsid w:val="007E5690"/>
    <w:rsid w:val="007F5590"/>
    <w:rsid w:val="008040F9"/>
    <w:rsid w:val="00807888"/>
    <w:rsid w:val="00814835"/>
    <w:rsid w:val="00826079"/>
    <w:rsid w:val="008312B8"/>
    <w:rsid w:val="0083301E"/>
    <w:rsid w:val="00837129"/>
    <w:rsid w:val="008436C7"/>
    <w:rsid w:val="00844E52"/>
    <w:rsid w:val="008574D8"/>
    <w:rsid w:val="00865948"/>
    <w:rsid w:val="008665E5"/>
    <w:rsid w:val="00871E04"/>
    <w:rsid w:val="00873376"/>
    <w:rsid w:val="0088461D"/>
    <w:rsid w:val="00884666"/>
    <w:rsid w:val="0089417D"/>
    <w:rsid w:val="00895136"/>
    <w:rsid w:val="008A0F83"/>
    <w:rsid w:val="008B2145"/>
    <w:rsid w:val="008B2AD3"/>
    <w:rsid w:val="008C7793"/>
    <w:rsid w:val="00901B3F"/>
    <w:rsid w:val="00910146"/>
    <w:rsid w:val="00911F2B"/>
    <w:rsid w:val="00913682"/>
    <w:rsid w:val="009154EB"/>
    <w:rsid w:val="009171E8"/>
    <w:rsid w:val="009212F6"/>
    <w:rsid w:val="00923949"/>
    <w:rsid w:val="00937C35"/>
    <w:rsid w:val="009528ED"/>
    <w:rsid w:val="00954621"/>
    <w:rsid w:val="009546E1"/>
    <w:rsid w:val="00976E28"/>
    <w:rsid w:val="0098252F"/>
    <w:rsid w:val="0098436B"/>
    <w:rsid w:val="00987A74"/>
    <w:rsid w:val="0099367F"/>
    <w:rsid w:val="00994C56"/>
    <w:rsid w:val="009A7D53"/>
    <w:rsid w:val="009B6D71"/>
    <w:rsid w:val="009C1D81"/>
    <w:rsid w:val="009C54BB"/>
    <w:rsid w:val="009D00DA"/>
    <w:rsid w:val="009D33DE"/>
    <w:rsid w:val="009E35ED"/>
    <w:rsid w:val="009E4125"/>
    <w:rsid w:val="009F4BF9"/>
    <w:rsid w:val="00A03D19"/>
    <w:rsid w:val="00A04105"/>
    <w:rsid w:val="00A2216E"/>
    <w:rsid w:val="00A251B4"/>
    <w:rsid w:val="00A3657B"/>
    <w:rsid w:val="00A36A02"/>
    <w:rsid w:val="00A42E83"/>
    <w:rsid w:val="00A468EC"/>
    <w:rsid w:val="00A47A6B"/>
    <w:rsid w:val="00A47E63"/>
    <w:rsid w:val="00A65894"/>
    <w:rsid w:val="00A6770A"/>
    <w:rsid w:val="00A7042D"/>
    <w:rsid w:val="00A723E2"/>
    <w:rsid w:val="00A74026"/>
    <w:rsid w:val="00A83D52"/>
    <w:rsid w:val="00A852FA"/>
    <w:rsid w:val="00A95629"/>
    <w:rsid w:val="00AA1B66"/>
    <w:rsid w:val="00AA3069"/>
    <w:rsid w:val="00AA4C43"/>
    <w:rsid w:val="00AA4F79"/>
    <w:rsid w:val="00AA522B"/>
    <w:rsid w:val="00AB5AA8"/>
    <w:rsid w:val="00AC5C2F"/>
    <w:rsid w:val="00AC5E4F"/>
    <w:rsid w:val="00AD1854"/>
    <w:rsid w:val="00AE28D1"/>
    <w:rsid w:val="00AF4D45"/>
    <w:rsid w:val="00AF4E79"/>
    <w:rsid w:val="00B140F3"/>
    <w:rsid w:val="00B17930"/>
    <w:rsid w:val="00B22C09"/>
    <w:rsid w:val="00B22E3C"/>
    <w:rsid w:val="00B252A1"/>
    <w:rsid w:val="00B252EB"/>
    <w:rsid w:val="00B26E55"/>
    <w:rsid w:val="00B31F57"/>
    <w:rsid w:val="00B33A9B"/>
    <w:rsid w:val="00B421CA"/>
    <w:rsid w:val="00B427AF"/>
    <w:rsid w:val="00B47542"/>
    <w:rsid w:val="00B54636"/>
    <w:rsid w:val="00B61FA1"/>
    <w:rsid w:val="00B63FCC"/>
    <w:rsid w:val="00B6494A"/>
    <w:rsid w:val="00B67E33"/>
    <w:rsid w:val="00B73C5E"/>
    <w:rsid w:val="00B82B50"/>
    <w:rsid w:val="00B95664"/>
    <w:rsid w:val="00B96B7A"/>
    <w:rsid w:val="00BB065D"/>
    <w:rsid w:val="00BB4938"/>
    <w:rsid w:val="00BB507D"/>
    <w:rsid w:val="00BD78DE"/>
    <w:rsid w:val="00BF22D7"/>
    <w:rsid w:val="00C001F9"/>
    <w:rsid w:val="00C04846"/>
    <w:rsid w:val="00C06A21"/>
    <w:rsid w:val="00C10DCB"/>
    <w:rsid w:val="00C1334C"/>
    <w:rsid w:val="00C2099F"/>
    <w:rsid w:val="00C25896"/>
    <w:rsid w:val="00C36C63"/>
    <w:rsid w:val="00C41B80"/>
    <w:rsid w:val="00C45B3A"/>
    <w:rsid w:val="00C46E8B"/>
    <w:rsid w:val="00C64E46"/>
    <w:rsid w:val="00C65AF1"/>
    <w:rsid w:val="00C667DA"/>
    <w:rsid w:val="00C674EB"/>
    <w:rsid w:val="00C76436"/>
    <w:rsid w:val="00C767D9"/>
    <w:rsid w:val="00C851DC"/>
    <w:rsid w:val="00C97985"/>
    <w:rsid w:val="00CA5405"/>
    <w:rsid w:val="00CB4025"/>
    <w:rsid w:val="00CC021E"/>
    <w:rsid w:val="00CC3F5A"/>
    <w:rsid w:val="00CC6018"/>
    <w:rsid w:val="00CD2564"/>
    <w:rsid w:val="00CF634C"/>
    <w:rsid w:val="00CF6CDA"/>
    <w:rsid w:val="00D014B3"/>
    <w:rsid w:val="00D01AE4"/>
    <w:rsid w:val="00D04CA7"/>
    <w:rsid w:val="00D06C82"/>
    <w:rsid w:val="00D168AC"/>
    <w:rsid w:val="00D3731A"/>
    <w:rsid w:val="00D374B7"/>
    <w:rsid w:val="00D40A4C"/>
    <w:rsid w:val="00D45356"/>
    <w:rsid w:val="00D46E2C"/>
    <w:rsid w:val="00D47BC4"/>
    <w:rsid w:val="00D603FE"/>
    <w:rsid w:val="00D62ED8"/>
    <w:rsid w:val="00D70654"/>
    <w:rsid w:val="00D72436"/>
    <w:rsid w:val="00D87F53"/>
    <w:rsid w:val="00D97F63"/>
    <w:rsid w:val="00DA2139"/>
    <w:rsid w:val="00DA2423"/>
    <w:rsid w:val="00DA31FC"/>
    <w:rsid w:val="00DA37F6"/>
    <w:rsid w:val="00DB363C"/>
    <w:rsid w:val="00DB6C51"/>
    <w:rsid w:val="00DC35B9"/>
    <w:rsid w:val="00DD04A0"/>
    <w:rsid w:val="00DD6B0C"/>
    <w:rsid w:val="00DF519A"/>
    <w:rsid w:val="00E139D0"/>
    <w:rsid w:val="00E13D87"/>
    <w:rsid w:val="00E164C2"/>
    <w:rsid w:val="00E2058B"/>
    <w:rsid w:val="00E21271"/>
    <w:rsid w:val="00E3419B"/>
    <w:rsid w:val="00E41DE1"/>
    <w:rsid w:val="00E44367"/>
    <w:rsid w:val="00E44B62"/>
    <w:rsid w:val="00E459C1"/>
    <w:rsid w:val="00E45CC3"/>
    <w:rsid w:val="00E56534"/>
    <w:rsid w:val="00E67050"/>
    <w:rsid w:val="00E77E93"/>
    <w:rsid w:val="00E936EC"/>
    <w:rsid w:val="00E9377E"/>
    <w:rsid w:val="00EA11BB"/>
    <w:rsid w:val="00EB149E"/>
    <w:rsid w:val="00EB1931"/>
    <w:rsid w:val="00EC10F5"/>
    <w:rsid w:val="00EC2AF3"/>
    <w:rsid w:val="00EC333B"/>
    <w:rsid w:val="00ED1709"/>
    <w:rsid w:val="00ED76E2"/>
    <w:rsid w:val="00EE35A4"/>
    <w:rsid w:val="00EE3901"/>
    <w:rsid w:val="00EE51EF"/>
    <w:rsid w:val="00EE634E"/>
    <w:rsid w:val="00EF30E7"/>
    <w:rsid w:val="00EF4516"/>
    <w:rsid w:val="00F005DA"/>
    <w:rsid w:val="00F01A52"/>
    <w:rsid w:val="00F05E59"/>
    <w:rsid w:val="00F06288"/>
    <w:rsid w:val="00F146C3"/>
    <w:rsid w:val="00F16195"/>
    <w:rsid w:val="00F26062"/>
    <w:rsid w:val="00F27830"/>
    <w:rsid w:val="00F4576D"/>
    <w:rsid w:val="00F54B39"/>
    <w:rsid w:val="00F603EE"/>
    <w:rsid w:val="00F62768"/>
    <w:rsid w:val="00F66920"/>
    <w:rsid w:val="00F71CBE"/>
    <w:rsid w:val="00F7444F"/>
    <w:rsid w:val="00F80200"/>
    <w:rsid w:val="00F83191"/>
    <w:rsid w:val="00F901CE"/>
    <w:rsid w:val="00F9323D"/>
    <w:rsid w:val="00F93C35"/>
    <w:rsid w:val="00F97D4E"/>
    <w:rsid w:val="00FA043C"/>
    <w:rsid w:val="00FB2AD2"/>
    <w:rsid w:val="00FB4A85"/>
    <w:rsid w:val="00FB66A2"/>
    <w:rsid w:val="00FC35BC"/>
    <w:rsid w:val="00FC7036"/>
    <w:rsid w:val="00FD1A68"/>
    <w:rsid w:val="00FD1B6D"/>
    <w:rsid w:val="00FE43CA"/>
    <w:rsid w:val="00FE4FA6"/>
    <w:rsid w:val="0CAA790D"/>
    <w:rsid w:val="17DD03B5"/>
    <w:rsid w:val="180726AF"/>
    <w:rsid w:val="20B46E4E"/>
    <w:rsid w:val="332E5FC1"/>
    <w:rsid w:val="33FF0C3F"/>
    <w:rsid w:val="4F9A5146"/>
    <w:rsid w:val="524A797B"/>
    <w:rsid w:val="6F2D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B682F-2A4D-4951-BBD3-BF31F55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u w:val="single"/>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99"/>
    <w:rsid w:val="001C4A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8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37F65-A46D-4F12-92D6-6A513CD7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2019-03-04T06:47:00Z</cp:lastPrinted>
  <dcterms:created xsi:type="dcterms:W3CDTF">2020-05-08T09:20:00Z</dcterms:created>
  <dcterms:modified xsi:type="dcterms:W3CDTF">2020-05-08T09:20:00Z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