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仿宋_GB2312" w:hAnsi="仿宋_GB2312" w:eastAsia="仿宋_GB2312"/>
          <w:kern w:val="0"/>
          <w:sz w:val="32"/>
          <w:szCs w:val="44"/>
        </w:rPr>
      </w:pPr>
      <w:r>
        <w:rPr>
          <w:rFonts w:hint="eastAsia" w:ascii="仿宋_GB2312" w:hAnsi="仿宋_GB2312" w:eastAsia="仿宋_GB2312"/>
          <w:kern w:val="0"/>
          <w:sz w:val="32"/>
          <w:szCs w:val="44"/>
        </w:rPr>
        <w:t>附件1</w:t>
      </w:r>
    </w:p>
    <w:p>
      <w:pPr>
        <w:widowControl/>
        <w:adjustRightInd w:val="0"/>
        <w:snapToGrid w:val="0"/>
        <w:spacing w:line="240" w:lineRule="atLeast"/>
        <w:ind w:left="86" w:leftChars="41"/>
        <w:jc w:val="left"/>
        <w:rPr>
          <w:rFonts w:ascii="黑体" w:hAnsi="黑体" w:eastAsia="黑体"/>
          <w:spacing w:val="-20"/>
          <w:kern w:val="0"/>
          <w:sz w:val="16"/>
          <w:szCs w:val="16"/>
        </w:rPr>
      </w:pPr>
    </w:p>
    <w:p>
      <w:pPr>
        <w:widowControl/>
        <w:adjustRightInd w:val="0"/>
        <w:snapToGrid w:val="0"/>
        <w:spacing w:line="360" w:lineRule="auto"/>
        <w:ind w:left="86" w:leftChars="41"/>
        <w:jc w:val="center"/>
        <w:rPr>
          <w:rFonts w:ascii="仿宋_GB2312" w:hAnsi="仿宋" w:eastAsia="仿宋_GB2312"/>
          <w:sz w:val="32"/>
          <w:szCs w:val="32"/>
        </w:rPr>
      </w:pPr>
      <w:bookmarkStart w:id="0" w:name="_GoBack"/>
      <w:r>
        <w:rPr>
          <w:rFonts w:hint="eastAsia" w:asciiTheme="majorEastAsia" w:hAnsiTheme="majorEastAsia" w:eastAsiaTheme="majorEastAsia"/>
          <w:color w:val="000000"/>
          <w:spacing w:val="-4"/>
          <w:sz w:val="36"/>
          <w:szCs w:val="32"/>
        </w:rPr>
        <w:t>2020年</w:t>
      </w:r>
      <w:r>
        <w:rPr>
          <w:rFonts w:hint="eastAsia" w:asciiTheme="majorEastAsia" w:hAnsiTheme="majorEastAsia" w:eastAsiaTheme="majorEastAsia"/>
          <w:spacing w:val="-4"/>
          <w:kern w:val="0"/>
          <w:sz w:val="36"/>
          <w:szCs w:val="44"/>
        </w:rPr>
        <w:t>海南省科技</w:t>
      </w:r>
      <w:r>
        <w:rPr>
          <w:rFonts w:asciiTheme="majorEastAsia" w:hAnsiTheme="majorEastAsia" w:eastAsiaTheme="majorEastAsia"/>
          <w:spacing w:val="-4"/>
          <w:kern w:val="0"/>
          <w:sz w:val="36"/>
          <w:szCs w:val="44"/>
        </w:rPr>
        <w:t>人员创新能力提升</w:t>
      </w:r>
      <w:r>
        <w:rPr>
          <w:rFonts w:hint="eastAsia" w:asciiTheme="majorEastAsia" w:hAnsiTheme="majorEastAsia" w:eastAsiaTheme="majorEastAsia"/>
          <w:spacing w:val="-4"/>
          <w:kern w:val="0"/>
          <w:sz w:val="36"/>
          <w:szCs w:val="44"/>
        </w:rPr>
        <w:t>培</w:t>
      </w:r>
      <w:r>
        <w:rPr>
          <w:rFonts w:hint="eastAsia" w:asciiTheme="majorEastAsia" w:hAnsiTheme="majorEastAsia" w:eastAsiaTheme="majorEastAsia"/>
          <w:bCs/>
          <w:spacing w:val="-4"/>
          <w:sz w:val="36"/>
          <w:szCs w:val="44"/>
          <w:lang w:val="en-GB"/>
        </w:rPr>
        <w:t>训班日程安排</w:t>
      </w:r>
    </w:p>
    <w:bookmarkEnd w:id="0"/>
    <w:tbl>
      <w:tblPr>
        <w:tblStyle w:val="2"/>
        <w:tblW w:w="10708" w:type="dxa"/>
        <w:tblInd w:w="-856" w:type="dxa"/>
        <w:tblLayout w:type="autofit"/>
        <w:tblCellMar>
          <w:top w:w="0" w:type="dxa"/>
          <w:left w:w="0" w:type="dxa"/>
          <w:bottom w:w="0" w:type="dxa"/>
          <w:right w:w="0" w:type="dxa"/>
        </w:tblCellMar>
      </w:tblPr>
      <w:tblGrid>
        <w:gridCol w:w="943"/>
        <w:gridCol w:w="728"/>
        <w:gridCol w:w="5923"/>
        <w:gridCol w:w="3114"/>
      </w:tblGrid>
      <w:tr>
        <w:tblPrEx>
          <w:tblCellMar>
            <w:top w:w="0" w:type="dxa"/>
            <w:left w:w="0" w:type="dxa"/>
            <w:bottom w:w="0" w:type="dxa"/>
            <w:right w:w="0" w:type="dxa"/>
          </w:tblCellMar>
        </w:tblPrEx>
        <w:trPr>
          <w:trHeight w:val="499" w:hRule="atLeast"/>
        </w:trPr>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b/>
                <w:color w:val="000000"/>
                <w:sz w:val="24"/>
                <w:szCs w:val="24"/>
              </w:rPr>
            </w:pPr>
            <w:r>
              <w:rPr>
                <w:rFonts w:ascii="仿宋_GB2312" w:hAnsi="Arial" w:eastAsia="仿宋_GB2312" w:cs="仿宋_GB2312"/>
                <w:b/>
                <w:color w:val="000000"/>
                <w:kern w:val="0"/>
                <w:sz w:val="24"/>
                <w:szCs w:val="24"/>
              </w:rPr>
              <w:t>时</w:t>
            </w:r>
            <w:r>
              <w:rPr>
                <w:rFonts w:hint="eastAsia" w:ascii="仿宋_GB2312" w:hAnsi="Arial" w:eastAsia="仿宋_GB2312" w:cs="仿宋_GB2312"/>
                <w:b/>
                <w:color w:val="000000"/>
                <w:kern w:val="0"/>
                <w:sz w:val="24"/>
                <w:szCs w:val="24"/>
              </w:rPr>
              <w:t xml:space="preserve"> </w:t>
            </w:r>
            <w:r>
              <w:rPr>
                <w:rFonts w:ascii="仿宋_GB2312" w:hAnsi="Arial" w:eastAsia="仿宋_GB2312" w:cs="仿宋_GB2312"/>
                <w:b/>
                <w:color w:val="000000"/>
                <w:kern w:val="0"/>
                <w:sz w:val="24"/>
                <w:szCs w:val="24"/>
              </w:rPr>
              <w:t>间</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b/>
                <w:color w:val="000000"/>
                <w:sz w:val="24"/>
                <w:szCs w:val="24"/>
              </w:rPr>
            </w:pPr>
            <w:r>
              <w:rPr>
                <w:rFonts w:ascii="仿宋_GB2312" w:hAnsi="Arial" w:eastAsia="仿宋_GB2312" w:cs="仿宋_GB2312"/>
                <w:b/>
                <w:color w:val="000000"/>
                <w:kern w:val="0"/>
                <w:sz w:val="24"/>
                <w:szCs w:val="24"/>
              </w:rPr>
              <w:t>内容</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b/>
                <w:color w:val="000000"/>
                <w:sz w:val="24"/>
                <w:szCs w:val="24"/>
              </w:rPr>
            </w:pPr>
            <w:r>
              <w:rPr>
                <w:rFonts w:ascii="仿宋_GB2312" w:hAnsi="Arial" w:eastAsia="仿宋_GB2312" w:cs="仿宋_GB2312"/>
                <w:b/>
                <w:color w:val="000000"/>
                <w:kern w:val="0"/>
                <w:sz w:val="24"/>
                <w:szCs w:val="24"/>
              </w:rPr>
              <w:t>拟邀师资</w:t>
            </w:r>
          </w:p>
        </w:tc>
      </w:tr>
      <w:tr>
        <w:tblPrEx>
          <w:tblCellMar>
            <w:top w:w="0" w:type="dxa"/>
            <w:left w:w="0" w:type="dxa"/>
            <w:bottom w:w="0" w:type="dxa"/>
            <w:right w:w="0" w:type="dxa"/>
          </w:tblCellMar>
        </w:tblPrEx>
        <w:trPr>
          <w:trHeight w:val="388"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第一天</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全天</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eastAsia" w:ascii="仿宋_GB2312" w:hAnsi="Arial" w:eastAsia="仿宋_GB2312" w:cs="仿宋_GB2312"/>
                <w:b/>
                <w:i w:val="0"/>
                <w:color w:val="000000"/>
                <w:kern w:val="0"/>
                <w:sz w:val="22"/>
                <w:szCs w:val="22"/>
                <w:u w:val="none"/>
                <w:lang w:val="en-US" w:eastAsia="zh-CN" w:bidi="ar"/>
              </w:rPr>
              <w:t>报到</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85"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第二天</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上午</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开班仪式</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9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讲座</w:t>
            </w:r>
            <w:r>
              <w:rPr>
                <w:rFonts w:hint="default" w:ascii="Arial" w:hAnsi="Arial" w:eastAsia="仿宋_GB2312" w:cs="Arial"/>
                <w:i w:val="0"/>
                <w:color w:val="000000"/>
                <w:kern w:val="0"/>
                <w:sz w:val="20"/>
                <w:szCs w:val="20"/>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海南全岛建设自贸港和中国特色自贸港的实施路径</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胡安安</w:t>
            </w:r>
            <w:r>
              <w:rPr>
                <w:rFonts w:hint="default" w:ascii="Arial" w:hAnsi="Arial" w:eastAsia="仿宋_GB2312" w:cs="Arial"/>
                <w:i w:val="0"/>
                <w:color w:val="000000"/>
                <w:kern w:val="0"/>
                <w:sz w:val="20"/>
                <w:szCs w:val="20"/>
                <w:u w:val="none"/>
                <w:lang w:val="en-US" w:eastAsia="zh-CN" w:bidi="ar"/>
              </w:rPr>
              <w:t xml:space="preserve"> </w:t>
            </w:r>
            <w:r>
              <w:rPr>
                <w:rFonts w:hint="default" w:ascii="仿宋_GB2312" w:hAnsi="Arial" w:eastAsia="仿宋_GB2312" w:cs="仿宋_GB2312"/>
                <w:i w:val="0"/>
                <w:color w:val="000000"/>
                <w:kern w:val="0"/>
                <w:sz w:val="22"/>
                <w:szCs w:val="22"/>
                <w:u w:val="none"/>
                <w:lang w:val="en-US" w:eastAsia="zh-CN" w:bidi="ar"/>
              </w:rPr>
              <w:t xml:space="preserve"> </w:t>
            </w:r>
            <w:r>
              <w:rPr>
                <w:rFonts w:hint="default" w:ascii="仿宋_GB2312" w:hAnsi="Arial" w:eastAsia="仿宋_GB2312" w:cs="仿宋_GB2312"/>
                <w:i w:val="0"/>
                <w:color w:val="000000"/>
                <w:kern w:val="0"/>
                <w:sz w:val="22"/>
                <w:szCs w:val="22"/>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上海市经济和信息化发展研究中心专家、复旦大学人文学院副教授、新华社瞭望智库专家</w:t>
            </w:r>
          </w:p>
        </w:tc>
      </w:tr>
      <w:tr>
        <w:tblPrEx>
          <w:tblCellMar>
            <w:top w:w="0" w:type="dxa"/>
            <w:left w:w="0" w:type="dxa"/>
            <w:bottom w:w="0" w:type="dxa"/>
            <w:right w:w="0" w:type="dxa"/>
          </w:tblCellMar>
        </w:tblPrEx>
        <w:trPr>
          <w:trHeight w:val="1205"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下午</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现场教学</w:t>
            </w:r>
            <w:r>
              <w:rPr>
                <w:rFonts w:hint="default" w:ascii="Arial" w:hAnsi="Arial" w:eastAsia="仿宋_GB2312" w:cs="Arial"/>
                <w:i w:val="0"/>
                <w:color w:val="000000"/>
                <w:kern w:val="0"/>
                <w:sz w:val="20"/>
                <w:szCs w:val="20"/>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中国（江苏）自由贸易试验区苏州片区核心区——苏州工业园区综合保税区（航港物流）（或同类机构）</w:t>
            </w:r>
            <w:r>
              <w:rPr>
                <w:rFonts w:hint="default" w:ascii="仿宋_GB2312" w:hAnsi="Arial" w:eastAsia="仿宋_GB2312" w:cs="仿宋_GB2312"/>
                <w:i w:val="0"/>
                <w:color w:val="000000"/>
                <w:kern w:val="0"/>
                <w:sz w:val="22"/>
                <w:szCs w:val="22"/>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推荐理由：苏州工业园区综合保税区是省内唯一以国际商务区命名的特色产业园，也是目前国内政策最全面、开放程度最高的海关特殊监管区域之一。</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70"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晚上</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eastAsia" w:ascii="仿宋_GB2312" w:hAnsi="Arial" w:eastAsia="仿宋_GB2312" w:cs="仿宋_GB2312"/>
                <w:i w:val="0"/>
                <w:color w:val="000000"/>
                <w:kern w:val="0"/>
                <w:sz w:val="22"/>
                <w:szCs w:val="22"/>
                <w:u w:val="none"/>
                <w:lang w:val="en-US" w:eastAsia="zh-CN" w:bidi="ar"/>
              </w:rPr>
              <w:t>第二课堂：金鸡湖中央商务区</w:t>
            </w:r>
            <w:r>
              <w:rPr>
                <w:rFonts w:hint="default" w:ascii="仿宋_GB2312" w:hAnsi="Arial" w:eastAsia="仿宋_GB2312" w:cs="仿宋_GB2312"/>
                <w:i w:val="0"/>
                <w:color w:val="000000"/>
                <w:kern w:val="0"/>
                <w:sz w:val="22"/>
                <w:szCs w:val="22"/>
                <w:u w:val="none"/>
                <w:lang w:val="en-US" w:eastAsia="zh-CN" w:bidi="ar"/>
              </w:rPr>
              <w:t>——园区营商环境</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仿宋_GB2312" w:hAnsi="Arial" w:eastAsia="仿宋_GB2312" w:cs="仿宋_GB2312"/>
                <w:color w:val="000000"/>
                <w:sz w:val="24"/>
                <w:szCs w:val="24"/>
              </w:rPr>
            </w:pPr>
          </w:p>
        </w:tc>
      </w:tr>
      <w:tr>
        <w:tblPrEx>
          <w:tblCellMar>
            <w:top w:w="0" w:type="dxa"/>
            <w:left w:w="0" w:type="dxa"/>
            <w:bottom w:w="0" w:type="dxa"/>
            <w:right w:w="0" w:type="dxa"/>
          </w:tblCellMar>
        </w:tblPrEx>
        <w:trPr>
          <w:trHeight w:val="529"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第三天</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上午</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流动课室</w:t>
            </w:r>
            <w:r>
              <w:rPr>
                <w:rFonts w:hint="default" w:ascii="Arial" w:hAnsi="Arial" w:eastAsia="仿宋_GB2312" w:cs="Arial"/>
                <w:i w:val="0"/>
                <w:color w:val="000000"/>
                <w:kern w:val="0"/>
                <w:sz w:val="20"/>
                <w:szCs w:val="20"/>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区域建设的高质量产业规划与布局</w:t>
            </w:r>
            <w:r>
              <w:rPr>
                <w:rFonts w:hint="eastAsia" w:ascii="仿宋_GB2312" w:hAnsi="Arial" w:eastAsia="仿宋_GB2312" w:cs="仿宋_GB2312"/>
                <w:i w:val="0"/>
                <w:color w:val="000000"/>
                <w:kern w:val="0"/>
                <w:sz w:val="22"/>
                <w:szCs w:val="22"/>
                <w:u w:val="none"/>
                <w:lang w:val="en-US" w:eastAsia="zh-CN" w:bidi="ar"/>
              </w:rPr>
              <w:t>—</w:t>
            </w:r>
            <w:r>
              <w:rPr>
                <w:rFonts w:hint="default" w:ascii="仿宋_GB2312" w:hAnsi="Arial" w:eastAsia="仿宋_GB2312" w:cs="仿宋_GB2312"/>
                <w:i w:val="0"/>
                <w:color w:val="000000"/>
                <w:kern w:val="0"/>
                <w:sz w:val="22"/>
                <w:szCs w:val="22"/>
                <w:u w:val="none"/>
                <w:lang w:val="en-US" w:eastAsia="zh-CN" w:bidi="ar"/>
              </w:rPr>
              <w:t>苏州工业园区展示中心</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 xml:space="preserve">   </w:t>
            </w:r>
            <w:r>
              <w:rPr>
                <w:rFonts w:hint="default" w:ascii="Arial" w:hAnsi="Arial" w:eastAsia="仿宋_GB2312" w:cs="Arial"/>
                <w:i w:val="0"/>
                <w:color w:val="000000"/>
                <w:kern w:val="0"/>
                <w:sz w:val="20"/>
                <w:szCs w:val="20"/>
                <w:u w:val="none"/>
                <w:lang w:val="en-US" w:eastAsia="zh-CN" w:bidi="ar"/>
              </w:rPr>
              <w:t xml:space="preserve"> </w:t>
            </w:r>
            <w:r>
              <w:rPr>
                <w:rFonts w:hint="default" w:ascii="仿宋_GB2312" w:hAnsi="Arial" w:eastAsia="仿宋_GB2312" w:cs="仿宋_GB2312"/>
                <w:i w:val="0"/>
                <w:color w:val="000000"/>
                <w:kern w:val="0"/>
                <w:sz w:val="22"/>
                <w:szCs w:val="22"/>
                <w:u w:val="none"/>
                <w:lang w:val="en-US" w:eastAsia="zh-CN" w:bidi="ar"/>
              </w:rPr>
              <w:t xml:space="preserve"> </w:t>
            </w:r>
            <w:r>
              <w:rPr>
                <w:rFonts w:hint="default" w:ascii="仿宋_GB2312" w:hAnsi="Arial" w:eastAsia="仿宋_GB2312" w:cs="仿宋_GB2312"/>
                <w:i w:val="0"/>
                <w:color w:val="000000"/>
                <w:kern w:val="0"/>
                <w:sz w:val="22"/>
                <w:szCs w:val="22"/>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新加坡新华国际教育集团讲师</w:t>
            </w:r>
          </w:p>
        </w:tc>
      </w:tr>
      <w:tr>
        <w:tblPrEx>
          <w:tblCellMar>
            <w:top w:w="0" w:type="dxa"/>
            <w:left w:w="0" w:type="dxa"/>
            <w:bottom w:w="0" w:type="dxa"/>
            <w:right w:w="0" w:type="dxa"/>
          </w:tblCellMar>
        </w:tblPrEx>
        <w:trPr>
          <w:trHeight w:val="2273"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下午</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现场教学</w:t>
            </w:r>
            <w:r>
              <w:rPr>
                <w:rFonts w:hint="default" w:ascii="Arial" w:hAnsi="Arial" w:eastAsia="仿宋_GB2312" w:cs="Arial"/>
                <w:i w:val="0"/>
                <w:color w:val="000000"/>
                <w:kern w:val="0"/>
                <w:sz w:val="20"/>
                <w:szCs w:val="20"/>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以云计算和大数据为支撑的人工智能产业高地——苏州国际科技园 （或同类机构）</w:t>
            </w:r>
            <w:r>
              <w:rPr>
                <w:rFonts w:hint="default" w:ascii="仿宋_GB2312" w:hAnsi="Arial" w:eastAsia="仿宋_GB2312" w:cs="仿宋_GB2312"/>
                <w:i w:val="0"/>
                <w:color w:val="000000"/>
                <w:kern w:val="0"/>
                <w:sz w:val="22"/>
                <w:szCs w:val="22"/>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推荐理由：苏州国际科技园是苏州市科技创新、知识创新和企业孵化的重要载体，总规划建筑面积107.42万平方米。累计孵化超过2000家企业、5家上市公司。是中国科技企业孵化器、国家软件产业基地、国家动画产业基地、国家海外高层次人才创新创业基地、中国软件欧美出口工程试点基地、中国留学人员苏州创业中心、中国服务外包示范基地和中国服务贸易创新示范基地。</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88"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晚上</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eastAsia" w:ascii="仿宋_GB2312" w:hAnsi="Arial" w:eastAsia="仿宋_GB2312" w:cs="仿宋_GB2312"/>
                <w:i w:val="0"/>
                <w:color w:val="000000"/>
                <w:kern w:val="0"/>
                <w:sz w:val="22"/>
                <w:szCs w:val="22"/>
                <w:u w:val="none"/>
                <w:lang w:val="en-US" w:eastAsia="zh-CN" w:bidi="ar"/>
              </w:rPr>
              <w:t>第二课堂：平江路历史街区--新旧对比，协同发展，体验苏州经验</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ascii="仿宋_GB2312" w:hAnsi="Arial" w:eastAsia="仿宋_GB2312" w:cs="仿宋_GB2312"/>
                <w:color w:val="000000"/>
                <w:sz w:val="24"/>
                <w:szCs w:val="24"/>
              </w:rPr>
            </w:pPr>
          </w:p>
        </w:tc>
      </w:tr>
      <w:tr>
        <w:tblPrEx>
          <w:tblCellMar>
            <w:top w:w="0" w:type="dxa"/>
            <w:left w:w="0" w:type="dxa"/>
            <w:bottom w:w="0" w:type="dxa"/>
            <w:right w:w="0" w:type="dxa"/>
          </w:tblCellMar>
        </w:tblPrEx>
        <w:trPr>
          <w:trHeight w:val="559" w:hRule="atLeast"/>
        </w:trPr>
        <w:tc>
          <w:tcPr>
            <w:tcW w:w="94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第四天</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上午</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讲座</w:t>
            </w:r>
            <w:r>
              <w:rPr>
                <w:rFonts w:hint="default" w:ascii="Arial" w:hAnsi="Arial" w:eastAsia="仿宋_GB2312" w:cs="Arial"/>
                <w:i w:val="0"/>
                <w:color w:val="000000"/>
                <w:kern w:val="0"/>
                <w:sz w:val="20"/>
                <w:szCs w:val="20"/>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科技创新体系构建与区域竞争力提升</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王宏理</w:t>
            </w:r>
            <w:r>
              <w:rPr>
                <w:rFonts w:hint="default" w:ascii="Arial" w:hAnsi="Arial" w:eastAsia="仿宋_GB2312" w:cs="Arial"/>
                <w:i w:val="0"/>
                <w:color w:val="000000"/>
                <w:kern w:val="0"/>
                <w:sz w:val="20"/>
                <w:szCs w:val="20"/>
                <w:u w:val="none"/>
                <w:lang w:val="en-US" w:eastAsia="zh-CN" w:bidi="ar"/>
              </w:rPr>
              <w:t xml:space="preserve"> </w:t>
            </w:r>
            <w:r>
              <w:rPr>
                <w:rFonts w:hint="default" w:ascii="仿宋_GB2312" w:hAnsi="Arial" w:eastAsia="仿宋_GB2312" w:cs="仿宋_GB2312"/>
                <w:i w:val="0"/>
                <w:color w:val="000000"/>
                <w:kern w:val="0"/>
                <w:sz w:val="22"/>
                <w:szCs w:val="22"/>
                <w:u w:val="none"/>
                <w:lang w:val="en-US" w:eastAsia="zh-CN" w:bidi="ar"/>
              </w:rPr>
              <w:t xml:space="preserve"> </w:t>
            </w:r>
            <w:r>
              <w:rPr>
                <w:rFonts w:hint="default" w:ascii="仿宋_GB2312" w:hAnsi="Arial" w:eastAsia="仿宋_GB2312" w:cs="仿宋_GB2312"/>
                <w:i w:val="0"/>
                <w:color w:val="000000"/>
                <w:kern w:val="0"/>
                <w:sz w:val="22"/>
                <w:szCs w:val="22"/>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原浙江省科技厅副厅长、浙江省高新技术企业协会常务副理事长</w:t>
            </w:r>
          </w:p>
        </w:tc>
      </w:tr>
      <w:tr>
        <w:tblPrEx>
          <w:tblCellMar>
            <w:top w:w="0" w:type="dxa"/>
            <w:left w:w="0" w:type="dxa"/>
            <w:bottom w:w="0" w:type="dxa"/>
            <w:right w:w="0" w:type="dxa"/>
          </w:tblCellMar>
        </w:tblPrEx>
        <w:trPr>
          <w:trHeight w:val="615" w:hRule="atLeast"/>
        </w:trPr>
        <w:tc>
          <w:tcPr>
            <w:tcW w:w="9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互动交流</w:t>
            </w:r>
            <w:r>
              <w:rPr>
                <w:rFonts w:hint="default" w:ascii="Arial" w:hAnsi="Arial" w:eastAsia="仿宋_GB2312" w:cs="Arial"/>
                <w:i w:val="0"/>
                <w:color w:val="000000"/>
                <w:kern w:val="0"/>
                <w:sz w:val="20"/>
                <w:szCs w:val="20"/>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海南省科技人员如何全面落实科学发展观，提升科学素养和创新思维，为创新驱动发展服务、为提高全民科学素质服务？</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602" w:hRule="atLeast"/>
        </w:trPr>
        <w:tc>
          <w:tcPr>
            <w:tcW w:w="94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下午</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b/>
                <w:i w:val="0"/>
                <w:color w:val="000000"/>
                <w:kern w:val="0"/>
                <w:sz w:val="22"/>
                <w:szCs w:val="22"/>
                <w:u w:val="none"/>
                <w:lang w:val="en-US" w:eastAsia="zh-CN" w:bidi="ar"/>
              </w:rPr>
              <w:t>现场教学</w:t>
            </w:r>
            <w:r>
              <w:rPr>
                <w:rFonts w:hint="default" w:ascii="Arial" w:hAnsi="Arial" w:eastAsia="仿宋_GB2312" w:cs="Arial"/>
                <w:i w:val="0"/>
                <w:color w:val="000000"/>
                <w:kern w:val="0"/>
                <w:sz w:val="20"/>
                <w:szCs w:val="20"/>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以语音交互技术为核心的人工智能平台—科大讯飞（苏州）科技有限公司（或同类机构）</w:t>
            </w:r>
            <w:r>
              <w:rPr>
                <w:rFonts w:hint="default" w:ascii="仿宋_GB2312" w:hAnsi="Arial" w:eastAsia="仿宋_GB2312" w:cs="仿宋_GB2312"/>
                <w:i w:val="0"/>
                <w:color w:val="000000"/>
                <w:kern w:val="0"/>
                <w:sz w:val="22"/>
                <w:szCs w:val="22"/>
                <w:u w:val="none"/>
                <w:lang w:val="en-US" w:eastAsia="zh-CN" w:bidi="ar"/>
              </w:rPr>
              <w:br w:type="textWrapping"/>
            </w:r>
            <w:r>
              <w:rPr>
                <w:rFonts w:hint="default" w:ascii="仿宋_GB2312" w:hAnsi="Arial" w:eastAsia="仿宋_GB2312" w:cs="仿宋_GB2312"/>
                <w:i w:val="0"/>
                <w:color w:val="000000"/>
                <w:kern w:val="0"/>
                <w:sz w:val="22"/>
                <w:szCs w:val="22"/>
                <w:u w:val="none"/>
                <w:lang w:val="en-US" w:eastAsia="zh-CN" w:bidi="ar"/>
              </w:rPr>
              <w:t>推荐理由：科大讯飞是我国唯一以语音技术为产业化方向的“国家863计划成果产业化基地”、“国家规划布局内重点软件企业”、“国家火炬计划重点高新技术企业”、“国家高技术产业化示范工程”，并被信息产业部确定为中文语音交互技术标准工作组组长单位，牵头制定中文语音技术标准。</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Arial" w:eastAsia="仿宋_GB2312" w:cs="仿宋_GB2312"/>
                <w:color w:val="000000"/>
                <w:sz w:val="24"/>
                <w:szCs w:val="24"/>
              </w:rPr>
            </w:pPr>
            <w:r>
              <w:rPr>
                <w:rFonts w:hint="default" w:ascii="仿宋_GB2312" w:hAnsi="Arial" w:eastAsia="仿宋_GB2312" w:cs="仿宋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521" w:hRule="atLeast"/>
        </w:trPr>
        <w:tc>
          <w:tcPr>
            <w:tcW w:w="943"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仿宋_GB2312" w:hAnsi="Arial" w:eastAsia="仿宋_GB2312" w:cs="仿宋_GB2312"/>
                <w:color w:val="000000"/>
                <w:sz w:val="24"/>
                <w:szCs w:val="24"/>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Arial" w:eastAsia="仿宋_GB2312" w:cs="仿宋_GB2312"/>
                <w:color w:val="000000"/>
                <w:kern w:val="0"/>
                <w:sz w:val="24"/>
                <w:szCs w:val="24"/>
                <w:lang w:eastAsia="zh-CN"/>
              </w:rPr>
            </w:pPr>
            <w:r>
              <w:rPr>
                <w:rFonts w:hint="eastAsia" w:ascii="仿宋_GB2312" w:hAnsi="Arial" w:eastAsia="仿宋_GB2312" w:cs="仿宋_GB2312"/>
                <w:color w:val="000000"/>
                <w:kern w:val="0"/>
                <w:sz w:val="24"/>
                <w:szCs w:val="24"/>
                <w:lang w:eastAsia="zh-CN"/>
              </w:rPr>
              <w:t>晚上</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Arial" w:eastAsia="仿宋_GB2312" w:cs="仿宋_GB2312"/>
                <w:i w:val="0"/>
                <w:color w:val="000000"/>
                <w:kern w:val="0"/>
                <w:sz w:val="22"/>
                <w:szCs w:val="22"/>
                <w:u w:val="none"/>
                <w:lang w:val="en-US" w:eastAsia="zh-CN" w:bidi="ar"/>
              </w:rPr>
            </w:pPr>
            <w:r>
              <w:rPr>
                <w:rFonts w:hint="eastAsia" w:ascii="仿宋_GB2312" w:hAnsi="Arial" w:eastAsia="仿宋_GB2312" w:cs="仿宋_GB2312"/>
                <w:i w:val="0"/>
                <w:color w:val="000000"/>
                <w:kern w:val="0"/>
                <w:sz w:val="22"/>
                <w:szCs w:val="22"/>
                <w:u w:val="none"/>
                <w:lang w:val="en-US" w:eastAsia="zh-CN" w:bidi="ar"/>
              </w:rPr>
              <w:t>1.</w:t>
            </w:r>
            <w:r>
              <w:rPr>
                <w:rFonts w:hint="default" w:ascii="仿宋_GB2312" w:hAnsi="Arial" w:eastAsia="仿宋_GB2312" w:cs="仿宋_GB2312"/>
                <w:i w:val="0"/>
                <w:color w:val="000000"/>
                <w:kern w:val="0"/>
                <w:sz w:val="22"/>
                <w:szCs w:val="22"/>
                <w:u w:val="none"/>
                <w:lang w:val="en-US" w:eastAsia="zh-CN" w:bidi="ar"/>
              </w:rPr>
              <w:t>学员分组研讨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仿宋_GB2312" w:hAnsi="Arial" w:eastAsia="仿宋_GB2312" w:cs="仿宋_GB2312"/>
                <w:i w:val="0"/>
                <w:color w:val="000000"/>
                <w:kern w:val="0"/>
                <w:sz w:val="22"/>
                <w:szCs w:val="22"/>
                <w:u w:val="none"/>
                <w:lang w:val="en-US" w:eastAsia="zh-CN" w:bidi="ar"/>
              </w:rPr>
            </w:pPr>
            <w:r>
              <w:rPr>
                <w:rFonts w:hint="eastAsia" w:ascii="仿宋_GB2312" w:hAnsi="Arial" w:eastAsia="仿宋_GB2312" w:cs="仿宋_GB2312"/>
                <w:i w:val="0"/>
                <w:color w:val="000000"/>
                <w:kern w:val="0"/>
                <w:sz w:val="22"/>
                <w:szCs w:val="22"/>
                <w:u w:val="none"/>
                <w:lang w:val="en-US" w:eastAsia="zh-CN" w:bidi="ar"/>
              </w:rPr>
              <w:t>2.结业仪式</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Arial" w:eastAsia="仿宋_GB2312" w:cs="仿宋_GB2312"/>
                <w:i w:val="0"/>
                <w:color w:val="000000"/>
                <w:kern w:val="0"/>
                <w:sz w:val="22"/>
                <w:szCs w:val="22"/>
                <w:u w:val="none"/>
                <w:lang w:val="en-US" w:eastAsia="zh-CN" w:bidi="ar"/>
              </w:rPr>
            </w:pPr>
          </w:p>
        </w:tc>
      </w:tr>
      <w:tr>
        <w:tblPrEx>
          <w:tblCellMar>
            <w:top w:w="0" w:type="dxa"/>
            <w:left w:w="0" w:type="dxa"/>
            <w:bottom w:w="0" w:type="dxa"/>
            <w:right w:w="0" w:type="dxa"/>
          </w:tblCellMar>
        </w:tblPrEx>
        <w:trPr>
          <w:trHeight w:val="583"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第五天</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_GB2312" w:hAnsi="Arial" w:eastAsia="仿宋_GB2312" w:cs="仿宋_GB2312"/>
                <w:color w:val="000000"/>
                <w:sz w:val="24"/>
                <w:szCs w:val="24"/>
              </w:rPr>
            </w:pPr>
            <w:r>
              <w:rPr>
                <w:rFonts w:ascii="仿宋_GB2312" w:hAnsi="Arial" w:eastAsia="仿宋_GB2312" w:cs="仿宋_GB2312"/>
                <w:color w:val="000000"/>
                <w:kern w:val="0"/>
                <w:sz w:val="24"/>
                <w:szCs w:val="24"/>
              </w:rPr>
              <w:t>全天</w:t>
            </w:r>
          </w:p>
        </w:tc>
        <w:tc>
          <w:tcPr>
            <w:tcW w:w="59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Arial" w:eastAsia="仿宋_GB2312" w:cs="仿宋_GB2312"/>
                <w:color w:val="000000"/>
                <w:sz w:val="24"/>
                <w:szCs w:val="24"/>
                <w:lang w:val="en-US" w:eastAsia="zh-CN"/>
              </w:rPr>
            </w:pPr>
            <w:r>
              <w:rPr>
                <w:rFonts w:hint="eastAsia" w:ascii="仿宋_GB2312" w:hAnsi="Arial" w:eastAsia="仿宋_GB2312" w:cs="仿宋_GB2312"/>
                <w:i w:val="0"/>
                <w:color w:val="000000"/>
                <w:kern w:val="0"/>
                <w:sz w:val="22"/>
                <w:szCs w:val="22"/>
                <w:u w:val="none"/>
                <w:lang w:val="en-US" w:eastAsia="zh-CN" w:bidi="ar"/>
              </w:rPr>
              <w:t>返程</w:t>
            </w:r>
          </w:p>
        </w:tc>
        <w:tc>
          <w:tcPr>
            <w:tcW w:w="31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ascii="仿宋_GB2312" w:hAnsi="Arial" w:eastAsia="仿宋_GB2312" w:cs="仿宋_GB2312"/>
                <w:color w:val="000000"/>
                <w:sz w:val="24"/>
                <w:szCs w:val="24"/>
              </w:rPr>
            </w:pPr>
          </w:p>
        </w:tc>
      </w:tr>
    </w:tbl>
    <w:p>
      <w:pPr>
        <w:spacing w:line="480" w:lineRule="exact"/>
        <w:jc w:val="left"/>
        <w:rPr>
          <w:rFonts w:ascii="仿宋_GB2312" w:hAnsi="仿宋_GB2312" w:eastAsia="仿宋_GB2312"/>
          <w:color w:val="000000"/>
          <w:sz w:val="32"/>
          <w:szCs w:val="32"/>
        </w:rPr>
        <w:sectPr>
          <w:pgSz w:w="11906" w:h="16838"/>
          <w:pgMar w:top="1440" w:right="1463" w:bottom="1440" w:left="1463"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D4E54"/>
    <w:rsid w:val="499D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2020-10-28T08:20:00Z</dcterms:created>
  <dc:creator>ABC</dc:creator>
  <cp:lastModifiedBy>ABC</cp:lastModifiedBy>
  <dcterms:modified xsi:type="dcterms:W3CDTF">2020-10-28T08:21:12Z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